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FF" w:rsidRPr="00DC5871" w:rsidRDefault="00900AFF" w:rsidP="00911873">
      <w:pPr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lang w:eastAsia="ru-RU"/>
        </w:rPr>
        <w:t>Текстовая часть доклада главы администрации муниципального образования Кимовский район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</w:p>
    <w:p w:rsidR="00900AFF" w:rsidRPr="00DC5871" w:rsidRDefault="00900AFF" w:rsidP="00911873">
      <w:pPr>
        <w:spacing w:after="0" w:line="240" w:lineRule="auto"/>
        <w:ind w:firstLine="720"/>
        <w:rPr>
          <w:rFonts w:ascii="PT Astra Serif" w:hAnsi="PT Astra Serif"/>
          <w:b/>
          <w:sz w:val="28"/>
          <w:szCs w:val="28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lang w:eastAsia="ru-RU"/>
        </w:rPr>
        <w:t>за 201</w:t>
      </w:r>
      <w:r w:rsidR="00DC5871" w:rsidRPr="00DC5871">
        <w:rPr>
          <w:rFonts w:ascii="PT Astra Serif" w:hAnsi="PT Astra Serif"/>
          <w:b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b/>
          <w:sz w:val="28"/>
          <w:szCs w:val="28"/>
          <w:lang w:eastAsia="ru-RU"/>
        </w:rPr>
        <w:t xml:space="preserve"> год и их планируемых </w:t>
      </w:r>
      <w:proofErr w:type="gramStart"/>
      <w:r w:rsidRPr="00DC5871">
        <w:rPr>
          <w:rFonts w:ascii="PT Astra Serif" w:hAnsi="PT Astra Serif"/>
          <w:b/>
          <w:sz w:val="28"/>
          <w:szCs w:val="28"/>
          <w:lang w:eastAsia="ru-RU"/>
        </w:rPr>
        <w:t>значениях</w:t>
      </w:r>
      <w:proofErr w:type="gramEnd"/>
      <w:r w:rsidRPr="00DC5871">
        <w:rPr>
          <w:rFonts w:ascii="PT Astra Serif" w:hAnsi="PT Astra Serif"/>
          <w:b/>
          <w:sz w:val="28"/>
          <w:szCs w:val="28"/>
          <w:lang w:eastAsia="ru-RU"/>
        </w:rPr>
        <w:t xml:space="preserve"> на 3-летний период.</w:t>
      </w:r>
      <w:bookmarkStart w:id="0" w:name="_GoBack"/>
      <w:bookmarkEnd w:id="0"/>
    </w:p>
    <w:p w:rsidR="007B512E" w:rsidRPr="00DC5871" w:rsidRDefault="007B512E" w:rsidP="00911873">
      <w:pPr>
        <w:spacing w:after="0" w:line="240" w:lineRule="auto"/>
        <w:ind w:firstLine="720"/>
        <w:rPr>
          <w:rFonts w:ascii="PT Astra Serif" w:hAnsi="PT Astra Serif"/>
          <w:b/>
          <w:sz w:val="28"/>
          <w:szCs w:val="28"/>
          <w:lang w:eastAsia="ru-RU"/>
        </w:rPr>
      </w:pPr>
    </w:p>
    <w:p w:rsidR="007B512E" w:rsidRPr="00DC5871" w:rsidRDefault="007B512E" w:rsidP="00911873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>Сводный доклад о результатах мониторинга эффективности деятельности органов местного самоуправления городских округов и муниципальных районов за 201</w:t>
      </w:r>
      <w:r w:rsidR="00A418C1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 подготовлен в соответствии с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</w:t>
      </w:r>
      <w:r w:rsidRPr="00DC5871">
        <w:rPr>
          <w:rFonts w:ascii="PT Astra Serif" w:hAnsi="PT Astra Serif"/>
          <w:sz w:val="28"/>
          <w:szCs w:val="28"/>
        </w:rPr>
        <w:t xml:space="preserve"> мерах по реализации указа Президента Российской Федерации от 28 апреля</w:t>
      </w:r>
      <w:proofErr w:type="gramEnd"/>
      <w:r w:rsidRPr="00DC5871">
        <w:rPr>
          <w:rFonts w:ascii="PT Astra Serif" w:hAnsi="PT Astra Serif"/>
          <w:sz w:val="28"/>
          <w:szCs w:val="28"/>
        </w:rPr>
        <w:t xml:space="preserve"> 2008 года № 607 «Об оценке </w:t>
      </w:r>
      <w:proofErr w:type="gramStart"/>
      <w:r w:rsidRPr="00DC5871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DC5871">
        <w:rPr>
          <w:rFonts w:ascii="PT Astra Serif" w:hAnsi="PT Astra Serif"/>
          <w:sz w:val="28"/>
          <w:szCs w:val="28"/>
        </w:rPr>
        <w:t xml:space="preserve"> и муниципальных районов»</w:t>
      </w:r>
      <w:r w:rsidR="008A5F7F" w:rsidRPr="00DC5871">
        <w:rPr>
          <w:rFonts w:ascii="PT Astra Serif" w:hAnsi="PT Astra Serif"/>
          <w:sz w:val="28"/>
          <w:szCs w:val="28"/>
        </w:rPr>
        <w:t xml:space="preserve"> и</w:t>
      </w:r>
      <w:r w:rsidR="008A5F7F"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представляет собой аналитическую информацию о деятельности 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3-летний период.</w:t>
      </w:r>
    </w:p>
    <w:p w:rsidR="007F4548" w:rsidRPr="00DC5871" w:rsidRDefault="007F4548" w:rsidP="007F4548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C67CA0" w:rsidRPr="00DC5871" w:rsidRDefault="007F4548" w:rsidP="007F4548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i/>
          <w:sz w:val="28"/>
          <w:szCs w:val="28"/>
        </w:rPr>
      </w:pPr>
      <w:r w:rsidRPr="00DC5871">
        <w:rPr>
          <w:rFonts w:ascii="PT Astra Serif" w:hAnsi="PT Astra Serif"/>
          <w:b/>
          <w:i/>
          <w:sz w:val="28"/>
          <w:szCs w:val="28"/>
          <w:lang w:eastAsia="ru-RU"/>
        </w:rPr>
        <w:t xml:space="preserve">1. </w:t>
      </w:r>
      <w:r w:rsidR="00C67CA0" w:rsidRPr="00DC5871">
        <w:rPr>
          <w:rFonts w:ascii="PT Astra Serif" w:hAnsi="PT Astra Serif"/>
          <w:b/>
          <w:i/>
          <w:sz w:val="28"/>
          <w:szCs w:val="28"/>
        </w:rPr>
        <w:t>Сведения о муниципальном районе и органах местного самоуправления муниципального района:</w:t>
      </w:r>
    </w:p>
    <w:p w:rsidR="006B30A4" w:rsidRPr="00DC5871" w:rsidRDefault="006B30A4" w:rsidP="009B1302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</w:p>
    <w:p w:rsidR="00CB4378" w:rsidRPr="00DC5871" w:rsidRDefault="00CB4378" w:rsidP="00911873">
      <w:pPr>
        <w:pStyle w:val="a3"/>
        <w:spacing w:after="0" w:line="240" w:lineRule="auto"/>
        <w:ind w:left="1894"/>
        <w:rPr>
          <w:rFonts w:ascii="PT Astra Serif" w:hAnsi="PT Astra Serif"/>
          <w:b/>
          <w:sz w:val="28"/>
          <w:szCs w:val="28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lang w:eastAsia="ru-RU"/>
        </w:rPr>
        <w:t>Общая информация о муниципальном районе</w:t>
      </w:r>
    </w:p>
    <w:p w:rsidR="006B30A4" w:rsidRPr="00DC5871" w:rsidRDefault="006B30A4" w:rsidP="00911873">
      <w:pPr>
        <w:pStyle w:val="a3"/>
        <w:spacing w:after="0" w:line="240" w:lineRule="auto"/>
        <w:ind w:left="1894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737" w:type="dxa"/>
        <w:jc w:val="center"/>
        <w:tblInd w:w="38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5"/>
        <w:gridCol w:w="1843"/>
        <w:gridCol w:w="1701"/>
        <w:gridCol w:w="2588"/>
      </w:tblGrid>
      <w:tr w:rsidR="00CB4378" w:rsidRPr="00DC5871" w:rsidTr="006B30A4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DC5871">
              <w:rPr>
                <w:rFonts w:ascii="PT Astra Serif" w:hAnsi="PT Astra Serif"/>
                <w:b/>
                <w:lang w:eastAsia="ru-RU"/>
              </w:rPr>
              <w:t>Официаль</w:t>
            </w:r>
            <w:r w:rsidR="00E76B11" w:rsidRPr="00DC5871">
              <w:rPr>
                <w:rFonts w:ascii="PT Astra Serif" w:hAnsi="PT Astra Serif"/>
                <w:b/>
                <w:lang w:eastAsia="ru-RU"/>
              </w:rPr>
              <w:t>-</w:t>
            </w:r>
            <w:r w:rsidRPr="00DC5871">
              <w:rPr>
                <w:rFonts w:ascii="PT Astra Serif" w:hAnsi="PT Astra Serif"/>
                <w:b/>
                <w:lang w:eastAsia="ru-RU"/>
              </w:rPr>
              <w:t>ный</w:t>
            </w:r>
            <w:proofErr w:type="spellEnd"/>
            <w:proofErr w:type="gramEnd"/>
            <w:r w:rsidRPr="00DC5871">
              <w:rPr>
                <w:rFonts w:ascii="PT Astra Serif" w:hAnsi="PT Astra Serif"/>
                <w:b/>
                <w:lang w:eastAsia="ru-RU"/>
              </w:rPr>
              <w:t xml:space="preserve"> герб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5871">
              <w:rPr>
                <w:rFonts w:ascii="PT Astra Serif" w:hAnsi="PT Astra Serif"/>
                <w:b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DC5871">
              <w:rPr>
                <w:rFonts w:ascii="PT Astra Serif" w:hAnsi="PT Astra Serif"/>
                <w:b/>
                <w:lang w:eastAsia="ru-RU"/>
              </w:rPr>
              <w:t>муниципаль</w:t>
            </w:r>
            <w:r w:rsidR="00E76B11" w:rsidRPr="00DC5871">
              <w:rPr>
                <w:rFonts w:ascii="PT Astra Serif" w:hAnsi="PT Astra Serif"/>
                <w:b/>
                <w:lang w:eastAsia="ru-RU"/>
              </w:rPr>
              <w:t>-</w:t>
            </w:r>
            <w:r w:rsidRPr="00DC5871">
              <w:rPr>
                <w:rFonts w:ascii="PT Astra Serif" w:hAnsi="PT Astra Serif"/>
                <w:b/>
                <w:lang w:eastAsia="ru-RU"/>
              </w:rPr>
              <w:t>ного</w:t>
            </w:r>
            <w:proofErr w:type="spellEnd"/>
            <w:proofErr w:type="gramEnd"/>
            <w:r w:rsidRPr="00DC5871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7F454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5871">
              <w:rPr>
                <w:rFonts w:ascii="PT Astra Serif" w:hAnsi="PT Astra Serif"/>
                <w:b/>
                <w:lang w:eastAsia="ru-RU"/>
              </w:rPr>
              <w:t>Среднегодовая численность постоянного населения в 201</w:t>
            </w:r>
            <w:r w:rsidR="00FE0C80">
              <w:rPr>
                <w:rFonts w:ascii="PT Astra Serif" w:hAnsi="PT Astra Serif"/>
                <w:b/>
                <w:lang w:eastAsia="ru-RU"/>
              </w:rPr>
              <w:t>9</w:t>
            </w:r>
            <w:r w:rsidRPr="00DC5871">
              <w:rPr>
                <w:rFonts w:ascii="PT Astra Serif" w:hAnsi="PT Astra Serif"/>
                <w:b/>
                <w:lang w:eastAsia="ru-RU"/>
              </w:rPr>
              <w:t xml:space="preserve"> году, тыс. 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DC5871">
              <w:rPr>
                <w:rFonts w:ascii="PT Astra Serif" w:hAnsi="PT Astra Serif"/>
                <w:b/>
                <w:lang w:eastAsia="ru-RU"/>
              </w:rPr>
              <w:t>Админист</w:t>
            </w:r>
            <w:r w:rsidR="00E76B11" w:rsidRPr="00DC5871">
              <w:rPr>
                <w:rFonts w:ascii="PT Astra Serif" w:hAnsi="PT Astra Serif"/>
                <w:b/>
                <w:lang w:eastAsia="ru-RU"/>
              </w:rPr>
              <w:t>-</w:t>
            </w:r>
            <w:r w:rsidRPr="00DC5871">
              <w:rPr>
                <w:rFonts w:ascii="PT Astra Serif" w:hAnsi="PT Astra Serif"/>
                <w:b/>
                <w:lang w:eastAsia="ru-RU"/>
              </w:rPr>
              <w:t>ративный</w:t>
            </w:r>
            <w:proofErr w:type="spellEnd"/>
            <w:proofErr w:type="gramEnd"/>
            <w:r w:rsidRPr="00DC5871">
              <w:rPr>
                <w:rFonts w:ascii="PT Astra Serif" w:hAnsi="PT Astra Serif"/>
                <w:b/>
                <w:lang w:eastAsia="ru-RU"/>
              </w:rPr>
              <w:t xml:space="preserve"> центр </w:t>
            </w:r>
            <w:proofErr w:type="spellStart"/>
            <w:r w:rsidRPr="00DC5871">
              <w:rPr>
                <w:rFonts w:ascii="PT Astra Serif" w:hAnsi="PT Astra Serif"/>
                <w:b/>
                <w:lang w:eastAsia="ru-RU"/>
              </w:rPr>
              <w:t>муниципаль</w:t>
            </w:r>
            <w:r w:rsidR="00E76B11" w:rsidRPr="00DC5871">
              <w:rPr>
                <w:rFonts w:ascii="PT Astra Serif" w:hAnsi="PT Astra Serif"/>
                <w:b/>
                <w:lang w:eastAsia="ru-RU"/>
              </w:rPr>
              <w:t>-</w:t>
            </w:r>
            <w:r w:rsidRPr="00DC5871">
              <w:rPr>
                <w:rFonts w:ascii="PT Astra Serif" w:hAnsi="PT Astra Serif"/>
                <w:b/>
                <w:lang w:eastAsia="ru-RU"/>
              </w:rPr>
              <w:t>ного</w:t>
            </w:r>
            <w:proofErr w:type="spellEnd"/>
            <w:r w:rsidRPr="00DC5871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C5871">
              <w:rPr>
                <w:rFonts w:ascii="PT Astra Serif" w:hAnsi="PT Astra Serif"/>
                <w:b/>
                <w:bCs/>
                <w:lang w:eastAsia="ru-RU"/>
              </w:rPr>
              <w:t>Информация о размещении доклада главы администрации в сети «Интернет» (адрес официального сайта муниципального образования)</w:t>
            </w:r>
          </w:p>
        </w:tc>
      </w:tr>
      <w:tr w:rsidR="00CB4378" w:rsidRPr="00DC5871" w:rsidTr="006B30A4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DC5871"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8449C7" wp14:editId="5C0F1EC6">
                  <wp:extent cx="571500" cy="7143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spellStart"/>
            <w:r w:rsidRPr="00DC58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DC58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7F454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C58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  <w:r w:rsidR="003A0292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CB4378" w:rsidRPr="00DC5871" w:rsidRDefault="00CB4378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C58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C58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Кимовск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378" w:rsidRDefault="00AC69FA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hyperlink r:id="rId10" w:history="1">
              <w:r w:rsidR="00A418C1" w:rsidRPr="00A82509">
                <w:rPr>
                  <w:rStyle w:val="ab"/>
                  <w:rFonts w:ascii="PT Astra Serif" w:hAnsi="PT Astra Serif"/>
                  <w:b/>
                  <w:sz w:val="24"/>
                  <w:szCs w:val="24"/>
                </w:rPr>
                <w:t>https://kimovsk.tularegion.ru</w:t>
              </w:r>
            </w:hyperlink>
          </w:p>
          <w:p w:rsidR="00A418C1" w:rsidRPr="00DC5871" w:rsidRDefault="00A418C1" w:rsidP="0091187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4D96" w:rsidRPr="00DC5871" w:rsidRDefault="00EC4D96" w:rsidP="00EC4D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D96" w:rsidRPr="00DC5871" w:rsidRDefault="00EC4D96" w:rsidP="00911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C5871">
        <w:rPr>
          <w:rFonts w:ascii="PT Astra Serif" w:hAnsi="PT Astra Serif"/>
          <w:sz w:val="28"/>
          <w:szCs w:val="28"/>
        </w:rPr>
        <w:t xml:space="preserve">а) 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 образовано (установлены границы, наделено соответствующим статусом, определены административный центр и перечень поселений, входящих в состав муниципального района) в соответствии с </w:t>
      </w:r>
      <w:r w:rsidRPr="00DC5871">
        <w:rPr>
          <w:rFonts w:ascii="PT Astra Serif" w:hAnsi="PT Astra Serif"/>
          <w:color w:val="000000"/>
          <w:sz w:val="28"/>
          <w:szCs w:val="28"/>
        </w:rPr>
        <w:t xml:space="preserve">Законом Тульской области от 11 марта 2005 года № 547 – ЗТО «О переименовании муниципального образования - город </w:t>
      </w:r>
      <w:proofErr w:type="spellStart"/>
      <w:r w:rsidRPr="00DC5871">
        <w:rPr>
          <w:rFonts w:ascii="PT Astra Serif" w:hAnsi="PT Astra Serif"/>
          <w:color w:val="000000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color w:val="000000"/>
          <w:sz w:val="28"/>
          <w:szCs w:val="28"/>
        </w:rPr>
        <w:t xml:space="preserve"> и </w:t>
      </w:r>
      <w:proofErr w:type="spellStart"/>
      <w:r w:rsidRPr="00DC5871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color w:val="000000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DC5871">
        <w:rPr>
          <w:rFonts w:ascii="PT Astra Serif" w:hAnsi="PT Astra Serif"/>
          <w:color w:val="000000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proofErr w:type="gramEnd"/>
      <w:r w:rsidRPr="00DC5871">
        <w:rPr>
          <w:rFonts w:ascii="PT Astra Serif" w:hAnsi="PT Astra Serif"/>
          <w:color w:val="000000"/>
          <w:sz w:val="28"/>
          <w:szCs w:val="28"/>
        </w:rPr>
        <w:t xml:space="preserve"> Тульской области».</w:t>
      </w:r>
    </w:p>
    <w:p w:rsidR="00EC4D96" w:rsidRPr="00B314AD" w:rsidRDefault="00C86F2F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4152900"/>
            <wp:effectExtent l="0" t="0" r="0" b="0"/>
            <wp:docPr id="14" name="Рисунок 14" descr="E:\Рабочий стол\Назарова\start-2014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Назарова\start-2014 — коп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96" w:rsidRPr="00B314AD" w:rsidRDefault="00EC4D96" w:rsidP="0091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67CA0" w:rsidRPr="00DC5871" w:rsidRDefault="00C67CA0" w:rsidP="0091187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 xml:space="preserve">б) Административный центр муниципального образования - г. </w:t>
      </w:r>
      <w:proofErr w:type="spellStart"/>
      <w:r w:rsidRPr="00DC5871">
        <w:rPr>
          <w:rFonts w:ascii="PT Astra Serif" w:hAnsi="PT Astra Serif"/>
          <w:color w:val="000000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color w:val="000000"/>
          <w:sz w:val="28"/>
          <w:szCs w:val="28"/>
        </w:rPr>
        <w:t>.</w:t>
      </w:r>
    </w:p>
    <w:p w:rsidR="00C67CA0" w:rsidRPr="00DC5871" w:rsidRDefault="00C67CA0" w:rsidP="0091187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>в) В</w:t>
      </w:r>
      <w:r w:rsidRPr="00DC5871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DC5871">
        <w:rPr>
          <w:rFonts w:ascii="PT Astra Serif" w:hAnsi="PT Astra Serif"/>
          <w:color w:val="000000"/>
          <w:sz w:val="28"/>
          <w:szCs w:val="28"/>
        </w:rPr>
        <w:t xml:space="preserve">состав муниципального района входят 1 </w:t>
      </w:r>
      <w:proofErr w:type="gramStart"/>
      <w:r w:rsidRPr="00DC5871">
        <w:rPr>
          <w:rFonts w:ascii="PT Astra Serif" w:hAnsi="PT Astra Serif"/>
          <w:color w:val="000000"/>
          <w:sz w:val="28"/>
          <w:szCs w:val="28"/>
        </w:rPr>
        <w:t>городское</w:t>
      </w:r>
      <w:proofErr w:type="gramEnd"/>
      <w:r w:rsidRPr="00DC5871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="00B712B9" w:rsidRPr="00DC5871">
        <w:rPr>
          <w:rFonts w:ascii="PT Astra Serif" w:hAnsi="PT Astra Serif"/>
          <w:color w:val="000000"/>
          <w:sz w:val="28"/>
          <w:szCs w:val="28"/>
        </w:rPr>
        <w:t>2</w:t>
      </w:r>
      <w:r w:rsidRPr="00DC5871">
        <w:rPr>
          <w:rFonts w:ascii="PT Astra Serif" w:hAnsi="PT Astra Serif"/>
          <w:color w:val="000000"/>
          <w:sz w:val="28"/>
          <w:szCs w:val="28"/>
        </w:rPr>
        <w:t xml:space="preserve"> сельских поселени</w:t>
      </w:r>
      <w:r w:rsidR="00B712B9" w:rsidRPr="00DC5871">
        <w:rPr>
          <w:rFonts w:ascii="PT Astra Serif" w:hAnsi="PT Astra Serif"/>
          <w:color w:val="000000"/>
          <w:sz w:val="28"/>
          <w:szCs w:val="28"/>
        </w:rPr>
        <w:t>я</w:t>
      </w:r>
      <w:r w:rsidRPr="00DC5871">
        <w:rPr>
          <w:rFonts w:ascii="PT Astra Serif" w:hAnsi="PT Astra Serif"/>
          <w:color w:val="000000"/>
          <w:sz w:val="28"/>
          <w:szCs w:val="28"/>
        </w:rPr>
        <w:t>.</w:t>
      </w:r>
    </w:p>
    <w:p w:rsidR="00F345DF" w:rsidRPr="00DC5871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 xml:space="preserve">   г) </w:t>
      </w:r>
      <w:r w:rsidR="00F345DF" w:rsidRPr="00DC5871">
        <w:rPr>
          <w:rFonts w:ascii="PT Astra Serif" w:hAnsi="PT Astra Serif"/>
          <w:color w:val="000000"/>
          <w:sz w:val="28"/>
          <w:szCs w:val="28"/>
        </w:rPr>
        <w:t>После</w:t>
      </w:r>
      <w:r w:rsidRPr="00DC5871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DC5871">
        <w:rPr>
          <w:rFonts w:ascii="PT Astra Serif" w:hAnsi="PT Astra Serif"/>
          <w:color w:val="000000"/>
          <w:sz w:val="28"/>
          <w:szCs w:val="28"/>
        </w:rPr>
        <w:t>2009 года</w:t>
      </w:r>
      <w:r w:rsidR="00F345DF" w:rsidRPr="00DC5871">
        <w:rPr>
          <w:rFonts w:ascii="PT Astra Serif" w:hAnsi="PT Astra Serif"/>
          <w:color w:val="000000"/>
          <w:sz w:val="28"/>
          <w:szCs w:val="28"/>
        </w:rPr>
        <w:t>:</w:t>
      </w:r>
    </w:p>
    <w:p w:rsidR="00364319" w:rsidRPr="00DC5871" w:rsidRDefault="0036431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871">
        <w:rPr>
          <w:rFonts w:ascii="PT Astra Serif" w:hAnsi="PT Astra Serif"/>
          <w:sz w:val="28"/>
          <w:szCs w:val="28"/>
        </w:rPr>
        <w:t xml:space="preserve">- </w:t>
      </w:r>
      <w:r w:rsidR="00C67CA0" w:rsidRPr="00DC5871">
        <w:rPr>
          <w:rFonts w:ascii="PT Astra Serif" w:hAnsi="PT Astra Serif"/>
          <w:sz w:val="28"/>
          <w:szCs w:val="28"/>
        </w:rPr>
        <w:t>Законом Тульской области от 06.04.2010 N 1428-ЗТО "О реорганизации административно-территориальных единиц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поселки </w:t>
      </w:r>
      <w:r w:rsidR="00C67CA0" w:rsidRPr="00DC587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 xml:space="preserve">Новый, Старый, Мирный, Ясный, Шахтинский, Весенний, Зеркальный, Зубовский, Угольный, Строитель, Гранковский, Сельхозтехника, Левобережный присоединены к </w:t>
      </w:r>
      <w:r w:rsidR="00C67CA0" w:rsidRPr="00DC5871">
        <w:rPr>
          <w:rFonts w:ascii="PT Astra Serif" w:hAnsi="PT Astra Serif"/>
          <w:sz w:val="28"/>
          <w:szCs w:val="28"/>
        </w:rPr>
        <w:t xml:space="preserve"> территори</w:t>
      </w:r>
      <w:r w:rsidRPr="00DC5871">
        <w:rPr>
          <w:rFonts w:ascii="PT Astra Serif" w:hAnsi="PT Astra Serif"/>
          <w:sz w:val="28"/>
          <w:szCs w:val="28"/>
        </w:rPr>
        <w:t>и</w:t>
      </w:r>
      <w:r w:rsidR="00C67CA0" w:rsidRPr="00DC5871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C67CA0" w:rsidRPr="00DC5871">
        <w:rPr>
          <w:rFonts w:ascii="PT Astra Serif" w:hAnsi="PT Astra Serif"/>
          <w:sz w:val="28"/>
          <w:szCs w:val="28"/>
        </w:rPr>
        <w:t>Кимовска</w:t>
      </w:r>
      <w:proofErr w:type="spellEnd"/>
      <w:r w:rsidRPr="00DC5871">
        <w:rPr>
          <w:rFonts w:ascii="PT Astra Serif" w:hAnsi="PT Astra Serif"/>
          <w:sz w:val="28"/>
          <w:szCs w:val="28"/>
        </w:rPr>
        <w:t>.</w:t>
      </w:r>
      <w:proofErr w:type="gramEnd"/>
      <w:r w:rsidRPr="00DC5871">
        <w:rPr>
          <w:rFonts w:ascii="PT Astra Serif" w:hAnsi="PT Astra Serif"/>
          <w:sz w:val="28"/>
          <w:szCs w:val="28"/>
        </w:rPr>
        <w:t xml:space="preserve"> В соответствии с решением Собрания депутатов муниципального образования город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от 14.12.12 № 63-339 «О внесении изменений в решение Собрания депутатов муниципального образования город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</w:t>
      </w:r>
      <w:r w:rsidR="00377CF4" w:rsidRPr="00DC5871">
        <w:rPr>
          <w:rFonts w:ascii="PT Astra Serif" w:hAnsi="PT Astra Serif"/>
          <w:sz w:val="28"/>
          <w:szCs w:val="28"/>
        </w:rPr>
        <w:t xml:space="preserve"> от 15.06.2012 № 53-291</w:t>
      </w:r>
      <w:r w:rsidRPr="00DC5871">
        <w:rPr>
          <w:rFonts w:ascii="PT Astra Serif" w:hAnsi="PT Astra Serif"/>
          <w:sz w:val="28"/>
          <w:szCs w:val="28"/>
        </w:rPr>
        <w:t xml:space="preserve"> «О реорганизации</w:t>
      </w:r>
      <w:r w:rsidR="00377CF4" w:rsidRPr="00DC5871">
        <w:rPr>
          <w:rFonts w:ascii="PT Astra Serif" w:hAnsi="PT Astra Serif"/>
          <w:sz w:val="28"/>
          <w:szCs w:val="28"/>
        </w:rPr>
        <w:t xml:space="preserve"> </w:t>
      </w:r>
      <w:r w:rsidR="000B20ED" w:rsidRPr="00DC5871">
        <w:rPr>
          <w:rFonts w:ascii="PT Astra Serif" w:hAnsi="PT Astra Serif"/>
          <w:sz w:val="28"/>
          <w:szCs w:val="28"/>
        </w:rPr>
        <w:t xml:space="preserve"> административно-территориальных единиц на территории муниципального образования город </w:t>
      </w:r>
      <w:proofErr w:type="spellStart"/>
      <w:r w:rsidR="000B20ED" w:rsidRPr="00DC5871">
        <w:rPr>
          <w:rFonts w:ascii="PT Astra Serif" w:hAnsi="PT Astra Serif"/>
          <w:sz w:val="28"/>
          <w:szCs w:val="28"/>
        </w:rPr>
        <w:t>Кимовск</w:t>
      </w:r>
      <w:proofErr w:type="spellEnd"/>
      <w:r w:rsidR="000B20ED"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B20ED"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0B20ED" w:rsidRPr="00DC5871">
        <w:rPr>
          <w:rFonts w:ascii="PT Astra Serif" w:hAnsi="PT Astra Serif"/>
          <w:sz w:val="28"/>
          <w:szCs w:val="28"/>
        </w:rPr>
        <w:t xml:space="preserve"> района» указанным поселкам присвоен статус микрорайонов;</w:t>
      </w:r>
      <w:r w:rsidRPr="00DC5871">
        <w:rPr>
          <w:rFonts w:ascii="PT Astra Serif" w:hAnsi="PT Astra Serif"/>
          <w:sz w:val="28"/>
          <w:szCs w:val="28"/>
        </w:rPr>
        <w:t xml:space="preserve"> </w:t>
      </w:r>
    </w:p>
    <w:p w:rsidR="00C67CA0" w:rsidRPr="00DC5871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871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DC5871">
        <w:rPr>
          <w:rFonts w:ascii="PT Astra Serif" w:hAnsi="PT Astra Serif"/>
          <w:sz w:val="28"/>
          <w:szCs w:val="28"/>
        </w:rPr>
        <w:t xml:space="preserve">Законом Тульской области от 20.07.2011 № 1595-ЗТО "О преобразовании муниципальных образований на территории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Тульской области и о внесении изменений в Закон Тульской области "О переименовании муниципального образования - город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центров муниципальных образований на </w:t>
      </w:r>
      <w:r w:rsidRPr="00DC5871">
        <w:rPr>
          <w:rFonts w:ascii="PT Astra Serif" w:hAnsi="PT Astra Serif"/>
          <w:sz w:val="28"/>
          <w:szCs w:val="28"/>
        </w:rPr>
        <w:lastRenderedPageBreak/>
        <w:t xml:space="preserve">территории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Тульской области"</w:t>
      </w:r>
      <w:r w:rsidR="00C820E0" w:rsidRPr="00DC587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>(принят Тульской областной Думой 14.07.2011)</w:t>
      </w:r>
      <w:r w:rsidR="00AD60D3" w:rsidRPr="00DC5871">
        <w:rPr>
          <w:rFonts w:ascii="PT Astra Serif" w:hAnsi="PT Astra Serif"/>
          <w:sz w:val="28"/>
          <w:szCs w:val="28"/>
        </w:rPr>
        <w:t>:</w:t>
      </w:r>
      <w:proofErr w:type="gramEnd"/>
    </w:p>
    <w:p w:rsidR="00C67CA0" w:rsidRPr="00DC5871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Епифань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и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Кораблинское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района.</w:t>
      </w:r>
    </w:p>
    <w:p w:rsidR="00C67CA0" w:rsidRPr="00DC5871" w:rsidRDefault="00C67CA0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</w:t>
      </w:r>
      <w:proofErr w:type="spellStart"/>
      <w:r w:rsidRPr="00DC5871">
        <w:rPr>
          <w:rFonts w:ascii="PT Astra Serif" w:hAnsi="PT Astra Serif"/>
          <w:sz w:val="28"/>
          <w:szCs w:val="28"/>
        </w:rPr>
        <w:t>Новольвовск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и муниципальное образование Львовское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района.</w:t>
      </w:r>
    </w:p>
    <w:p w:rsidR="00B712B9" w:rsidRPr="00DC5871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C5871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DC5871">
        <w:rPr>
          <w:rFonts w:ascii="PT Astra Serif" w:hAnsi="PT Astra Serif"/>
          <w:sz w:val="28"/>
          <w:szCs w:val="28"/>
        </w:rPr>
        <w:t xml:space="preserve">Законом Тульской области от 01.04.2013 № 1898-ЗТО "О преобразовании муниципальных образований на территории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Тульской области и о внесении изменений в Закон Тульской области "О переименовании муниципального образования - город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Тульской области":</w:t>
      </w:r>
      <w:proofErr w:type="gramEnd"/>
    </w:p>
    <w:p w:rsidR="00B712B9" w:rsidRPr="00DC5871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Бучальское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и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преобразованы путем объединения в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района;</w:t>
      </w:r>
    </w:p>
    <w:p w:rsidR="00B712B9" w:rsidRPr="00DC5871" w:rsidRDefault="00B712B9" w:rsidP="00911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Кудашевское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района,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и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Пронское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 преобразованы путем их объединения в муниципальное образование </w:t>
      </w:r>
      <w:proofErr w:type="spellStart"/>
      <w:r w:rsidRPr="00DC587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района. </w:t>
      </w:r>
    </w:p>
    <w:p w:rsidR="00DC216C" w:rsidRPr="00DC5871" w:rsidRDefault="00DC216C" w:rsidP="00911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д) Площадь муниципального образования по состоянию на 31 декабря отчетного года</w:t>
      </w:r>
      <w:r w:rsidR="00A418C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>- 1111,1 кв. км.</w:t>
      </w:r>
    </w:p>
    <w:p w:rsidR="00DC216C" w:rsidRPr="00DC5871" w:rsidRDefault="00DC216C" w:rsidP="00D279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е) Население муниципального образования по состоянию на 31 декабря отчетного года </w:t>
      </w:r>
      <w:r w:rsidR="00A42781" w:rsidRPr="00DC5871">
        <w:rPr>
          <w:rFonts w:ascii="PT Astra Serif" w:hAnsi="PT Astra Serif"/>
          <w:sz w:val="28"/>
          <w:szCs w:val="28"/>
        </w:rPr>
        <w:t>37,</w:t>
      </w:r>
      <w:r w:rsidR="00031AE5">
        <w:rPr>
          <w:rFonts w:ascii="PT Astra Serif" w:hAnsi="PT Astra Serif"/>
          <w:sz w:val="28"/>
          <w:szCs w:val="28"/>
        </w:rPr>
        <w:t>001</w:t>
      </w:r>
      <w:r w:rsidRPr="00DC5871">
        <w:rPr>
          <w:rFonts w:ascii="PT Astra Serif" w:hAnsi="PT Astra Serif"/>
          <w:sz w:val="28"/>
          <w:szCs w:val="28"/>
        </w:rPr>
        <w:t xml:space="preserve"> тыс. чел., в том числе городское </w:t>
      </w:r>
      <w:r w:rsidR="00031AE5">
        <w:rPr>
          <w:rFonts w:ascii="PT Astra Serif" w:hAnsi="PT Astra Serif"/>
          <w:sz w:val="28"/>
          <w:szCs w:val="28"/>
        </w:rPr>
        <w:t>25,563</w:t>
      </w:r>
      <w:r w:rsidRPr="00DC5871">
        <w:rPr>
          <w:rFonts w:ascii="PT Astra Serif" w:hAnsi="PT Astra Serif"/>
          <w:sz w:val="28"/>
          <w:szCs w:val="28"/>
        </w:rPr>
        <w:t xml:space="preserve"> тыс.</w:t>
      </w:r>
      <w:r w:rsidR="007731C2" w:rsidRPr="00DC587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 xml:space="preserve">чел. и сельское – </w:t>
      </w:r>
      <w:r w:rsidR="00031AE5">
        <w:rPr>
          <w:rFonts w:ascii="PT Astra Serif" w:hAnsi="PT Astra Serif"/>
          <w:sz w:val="28"/>
          <w:szCs w:val="28"/>
        </w:rPr>
        <w:t>11,438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тыс</w:t>
      </w:r>
      <w:proofErr w:type="gramStart"/>
      <w:r w:rsidRPr="00DC5871">
        <w:rPr>
          <w:rFonts w:ascii="PT Astra Serif" w:hAnsi="PT Astra Serif"/>
          <w:sz w:val="28"/>
          <w:szCs w:val="28"/>
        </w:rPr>
        <w:t>.ч</w:t>
      </w:r>
      <w:proofErr w:type="gramEnd"/>
      <w:r w:rsidRPr="00DC5871">
        <w:rPr>
          <w:rFonts w:ascii="PT Astra Serif" w:hAnsi="PT Astra Serif"/>
          <w:sz w:val="28"/>
          <w:szCs w:val="28"/>
        </w:rPr>
        <w:t>ел</w:t>
      </w:r>
      <w:proofErr w:type="spellEnd"/>
      <w:r w:rsidRPr="00DC5871">
        <w:rPr>
          <w:rFonts w:ascii="PT Astra Serif" w:hAnsi="PT Astra Serif"/>
          <w:sz w:val="28"/>
          <w:szCs w:val="28"/>
        </w:rPr>
        <w:t>.</w:t>
      </w:r>
    </w:p>
    <w:p w:rsidR="00C67CA0" w:rsidRPr="00DC5871" w:rsidRDefault="00C67CA0" w:rsidP="00911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5871">
        <w:rPr>
          <w:rFonts w:ascii="PT Astra Serif" w:hAnsi="PT Astra Serif"/>
          <w:color w:val="000000"/>
          <w:sz w:val="28"/>
          <w:szCs w:val="28"/>
        </w:rPr>
        <w:t xml:space="preserve">ж) </w:t>
      </w:r>
      <w:r w:rsidRPr="00DC5871">
        <w:rPr>
          <w:rFonts w:ascii="PT Astra Serif" w:hAnsi="PT Astra Serif"/>
          <w:sz w:val="28"/>
          <w:szCs w:val="28"/>
        </w:rPr>
        <w:t>Собрание представителей муниципального образования формируется из глав поселений, входящих в состав муниципального образования, и из депутатов Собраний депутатов указанных поселений, избираемых Собраниями депутатов поселений из своего состава в соответствии с равной</w:t>
      </w:r>
      <w:r w:rsidR="00AD60D3" w:rsidRPr="00DC5871">
        <w:rPr>
          <w:rFonts w:ascii="PT Astra Serif" w:hAnsi="PT Astra Serif"/>
          <w:sz w:val="28"/>
          <w:szCs w:val="28"/>
        </w:rPr>
        <w:t>,</w:t>
      </w:r>
      <w:r w:rsidRPr="00DC5871">
        <w:rPr>
          <w:rFonts w:ascii="PT Astra Serif" w:hAnsi="PT Astra Serif"/>
          <w:sz w:val="28"/>
          <w:szCs w:val="28"/>
        </w:rPr>
        <w:t xml:space="preserve"> независимо от численности населения поселения нормой представительства, которая составляет </w:t>
      </w:r>
      <w:r w:rsidR="00F10992" w:rsidRPr="00DC5871">
        <w:rPr>
          <w:rFonts w:ascii="PT Astra Serif" w:hAnsi="PT Astra Serif"/>
          <w:sz w:val="28"/>
          <w:szCs w:val="28"/>
        </w:rPr>
        <w:t>четыре</w:t>
      </w:r>
      <w:r w:rsidRPr="00DC5871">
        <w:rPr>
          <w:rFonts w:ascii="PT Astra Serif" w:hAnsi="PT Astra Serif"/>
          <w:sz w:val="28"/>
          <w:szCs w:val="28"/>
        </w:rPr>
        <w:t xml:space="preserve"> депутата от каждого поселения.</w:t>
      </w:r>
      <w:proofErr w:type="gramEnd"/>
    </w:p>
    <w:p w:rsidR="00C67CA0" w:rsidRPr="006947B5" w:rsidRDefault="00C67CA0" w:rsidP="00911873">
      <w:pPr>
        <w:spacing w:after="0" w:line="240" w:lineRule="auto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6947B5">
        <w:rPr>
          <w:rFonts w:ascii="PT Astra Serif" w:hAnsi="PT Astra Serif"/>
          <w:color w:val="000000"/>
          <w:sz w:val="28"/>
          <w:szCs w:val="28"/>
        </w:rPr>
        <w:t xml:space="preserve">Дата проведения выборов действующего состава представительного органа и срок его полномочий: </w:t>
      </w:r>
      <w:r w:rsidR="00F10992" w:rsidRPr="006947B5">
        <w:rPr>
          <w:rFonts w:ascii="PT Astra Serif" w:hAnsi="PT Astra Serif"/>
          <w:color w:val="000000"/>
          <w:sz w:val="28"/>
          <w:szCs w:val="28"/>
        </w:rPr>
        <w:t>сентябрь</w:t>
      </w:r>
      <w:r w:rsidRPr="006947B5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0C548F" w:rsidRPr="006947B5">
        <w:rPr>
          <w:rFonts w:ascii="PT Astra Serif" w:hAnsi="PT Astra Serif"/>
          <w:color w:val="000000"/>
          <w:sz w:val="28"/>
          <w:szCs w:val="28"/>
        </w:rPr>
        <w:t>18</w:t>
      </w:r>
      <w:r w:rsidRPr="006947B5">
        <w:rPr>
          <w:rFonts w:ascii="PT Astra Serif" w:hAnsi="PT Astra Serif"/>
          <w:color w:val="000000"/>
          <w:sz w:val="28"/>
          <w:szCs w:val="28"/>
        </w:rPr>
        <w:t xml:space="preserve"> года, срок полномочий – 5 лет</w:t>
      </w:r>
      <w:r w:rsidR="00F345DF" w:rsidRPr="006947B5">
        <w:rPr>
          <w:rFonts w:ascii="PT Astra Serif" w:hAnsi="PT Astra Serif"/>
          <w:color w:val="000000"/>
          <w:sz w:val="28"/>
          <w:szCs w:val="28"/>
        </w:rPr>
        <w:t>.</w:t>
      </w:r>
    </w:p>
    <w:p w:rsidR="00C67CA0" w:rsidRPr="00DC5871" w:rsidRDefault="00C67CA0" w:rsidP="0091187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947B5">
        <w:rPr>
          <w:rFonts w:ascii="PT Astra Serif" w:hAnsi="PT Astra Serif"/>
          <w:color w:val="000000"/>
          <w:sz w:val="28"/>
          <w:szCs w:val="28"/>
        </w:rPr>
        <w:t xml:space="preserve">Число депутатов </w:t>
      </w:r>
      <w:r w:rsidR="00F345DF" w:rsidRPr="006947B5">
        <w:rPr>
          <w:rFonts w:ascii="PT Astra Serif" w:hAnsi="PT Astra Serif"/>
          <w:color w:val="000000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F345DF" w:rsidRPr="006947B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F345DF" w:rsidRPr="006947B5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Pr="006947B5">
        <w:rPr>
          <w:rFonts w:ascii="PT Astra Serif" w:hAnsi="PT Astra Serif"/>
          <w:color w:val="000000"/>
          <w:sz w:val="28"/>
          <w:szCs w:val="28"/>
        </w:rPr>
        <w:t>согласно уставу муниципального образования при формировании представительного органа</w:t>
      </w:r>
      <w:r w:rsidR="00823579" w:rsidRPr="006947B5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Pr="006947B5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F10992" w:rsidRPr="006947B5">
        <w:rPr>
          <w:rFonts w:ascii="PT Astra Serif" w:hAnsi="PT Astra Serif"/>
          <w:color w:val="000000"/>
          <w:sz w:val="28"/>
          <w:szCs w:val="28"/>
        </w:rPr>
        <w:t>5</w:t>
      </w:r>
      <w:r w:rsidR="00823579" w:rsidRPr="006947B5">
        <w:rPr>
          <w:rFonts w:ascii="PT Astra Serif" w:hAnsi="PT Astra Serif"/>
          <w:color w:val="000000"/>
          <w:sz w:val="28"/>
          <w:szCs w:val="28"/>
        </w:rPr>
        <w:t xml:space="preserve"> человек</w:t>
      </w:r>
      <w:r w:rsidRPr="006947B5">
        <w:rPr>
          <w:rFonts w:ascii="PT Astra Serif" w:hAnsi="PT Astra Serif"/>
          <w:color w:val="000000"/>
          <w:sz w:val="28"/>
          <w:szCs w:val="28"/>
        </w:rPr>
        <w:t>, фактически по состоянию на 31 декабря 201</w:t>
      </w:r>
      <w:r w:rsidR="000C548F" w:rsidRPr="006947B5">
        <w:rPr>
          <w:rFonts w:ascii="PT Astra Serif" w:hAnsi="PT Astra Serif"/>
          <w:color w:val="000000"/>
          <w:sz w:val="28"/>
          <w:szCs w:val="28"/>
        </w:rPr>
        <w:t>8</w:t>
      </w:r>
      <w:r w:rsidRPr="006947B5">
        <w:rPr>
          <w:rFonts w:ascii="PT Astra Serif" w:hAnsi="PT Astra Serif"/>
          <w:color w:val="000000"/>
          <w:sz w:val="28"/>
          <w:szCs w:val="28"/>
        </w:rPr>
        <w:t xml:space="preserve"> года – 1</w:t>
      </w:r>
      <w:r w:rsidR="00F10992" w:rsidRPr="006947B5">
        <w:rPr>
          <w:rFonts w:ascii="PT Astra Serif" w:hAnsi="PT Astra Serif"/>
          <w:color w:val="000000"/>
          <w:sz w:val="28"/>
          <w:szCs w:val="28"/>
        </w:rPr>
        <w:t>5</w:t>
      </w:r>
      <w:r w:rsidR="00823579" w:rsidRPr="006947B5">
        <w:rPr>
          <w:rFonts w:ascii="PT Astra Serif" w:hAnsi="PT Astra Serif"/>
          <w:color w:val="000000"/>
          <w:sz w:val="28"/>
          <w:szCs w:val="28"/>
        </w:rPr>
        <w:t xml:space="preserve"> человек.</w:t>
      </w:r>
    </w:p>
    <w:p w:rsidR="00CD3EE6" w:rsidRPr="00DC5871" w:rsidRDefault="00F05D11" w:rsidP="009118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lastRenderedPageBreak/>
        <w:t>з)</w:t>
      </w:r>
      <w:r w:rsidRPr="00DC5871">
        <w:rPr>
          <w:rFonts w:ascii="PT Astra Serif" w:hAnsi="PT Astra Serif"/>
          <w:sz w:val="24"/>
          <w:szCs w:val="24"/>
        </w:rPr>
        <w:t xml:space="preserve"> </w:t>
      </w:r>
      <w:r w:rsidRPr="0090791D">
        <w:rPr>
          <w:rFonts w:ascii="PT Astra Serif" w:hAnsi="PT Astra Serif"/>
          <w:sz w:val="28"/>
          <w:szCs w:val="28"/>
        </w:rPr>
        <w:t xml:space="preserve">С </w:t>
      </w:r>
      <w:r w:rsidR="009D5B2C" w:rsidRPr="0090791D">
        <w:rPr>
          <w:rFonts w:ascii="PT Astra Serif" w:hAnsi="PT Astra Serif"/>
          <w:sz w:val="28"/>
          <w:szCs w:val="28"/>
        </w:rPr>
        <w:t>7</w:t>
      </w:r>
      <w:r w:rsidRPr="0090791D">
        <w:rPr>
          <w:rFonts w:ascii="PT Astra Serif" w:hAnsi="PT Astra Serif"/>
          <w:sz w:val="28"/>
          <w:szCs w:val="28"/>
        </w:rPr>
        <w:t xml:space="preserve"> </w:t>
      </w:r>
      <w:r w:rsidR="009D5B2C" w:rsidRPr="0090791D">
        <w:rPr>
          <w:rFonts w:ascii="PT Astra Serif" w:hAnsi="PT Astra Serif"/>
          <w:sz w:val="28"/>
          <w:szCs w:val="28"/>
        </w:rPr>
        <w:t>февраля 2020</w:t>
      </w:r>
      <w:r w:rsidRPr="0090791D">
        <w:rPr>
          <w:rFonts w:ascii="PT Astra Serif" w:hAnsi="PT Astra Serif"/>
          <w:sz w:val="28"/>
          <w:szCs w:val="28"/>
        </w:rPr>
        <w:t xml:space="preserve"> г. </w:t>
      </w:r>
      <w:r w:rsidR="009D5B2C" w:rsidRPr="0090791D">
        <w:rPr>
          <w:rFonts w:ascii="PT Astra Serif" w:hAnsi="PT Astra Serif"/>
          <w:sz w:val="28"/>
          <w:szCs w:val="28"/>
        </w:rPr>
        <w:t>Захаров Евгений Владимирович</w:t>
      </w:r>
      <w:r w:rsidRPr="0090791D">
        <w:rPr>
          <w:rFonts w:ascii="PT Astra Serif" w:hAnsi="PT Astra Serif"/>
          <w:sz w:val="28"/>
          <w:szCs w:val="28"/>
        </w:rPr>
        <w:t xml:space="preserve"> назначен на должность</w:t>
      </w:r>
      <w:r w:rsidR="00156C3B" w:rsidRPr="0090791D">
        <w:rPr>
          <w:rFonts w:ascii="PT Astra Serif" w:hAnsi="PT Astra Serif"/>
          <w:sz w:val="28"/>
          <w:szCs w:val="28"/>
        </w:rPr>
        <w:t xml:space="preserve"> муниципальной службы</w:t>
      </w:r>
      <w:r w:rsidRPr="0090791D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Pr="0090791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0791D">
        <w:rPr>
          <w:rFonts w:ascii="PT Astra Serif" w:hAnsi="PT Astra Serif"/>
          <w:sz w:val="28"/>
          <w:szCs w:val="28"/>
        </w:rPr>
        <w:t xml:space="preserve"> район по результатам конкурса согласно  решению Собрания представителей муниципального образования </w:t>
      </w:r>
      <w:proofErr w:type="spellStart"/>
      <w:r w:rsidRPr="0090791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0791D">
        <w:rPr>
          <w:rFonts w:ascii="PT Astra Serif" w:hAnsi="PT Astra Serif"/>
          <w:sz w:val="28"/>
          <w:szCs w:val="28"/>
        </w:rPr>
        <w:t xml:space="preserve"> район от </w:t>
      </w:r>
      <w:r w:rsidR="0090791D" w:rsidRPr="0090791D">
        <w:rPr>
          <w:rFonts w:ascii="PT Astra Serif" w:hAnsi="PT Astra Serif"/>
          <w:sz w:val="28"/>
          <w:szCs w:val="28"/>
        </w:rPr>
        <w:t>06.02.2020</w:t>
      </w:r>
      <w:r w:rsidRPr="0090791D">
        <w:rPr>
          <w:rFonts w:ascii="PT Astra Serif" w:hAnsi="PT Astra Serif"/>
          <w:sz w:val="28"/>
          <w:szCs w:val="28"/>
        </w:rPr>
        <w:t xml:space="preserve"> года № </w:t>
      </w:r>
      <w:r w:rsidR="0090791D" w:rsidRPr="0090791D">
        <w:rPr>
          <w:rFonts w:ascii="PT Astra Serif" w:hAnsi="PT Astra Serif"/>
          <w:sz w:val="28"/>
          <w:szCs w:val="28"/>
        </w:rPr>
        <w:t>33-165</w:t>
      </w:r>
      <w:r w:rsidRPr="0090791D">
        <w:rPr>
          <w:rFonts w:ascii="PT Astra Serif" w:hAnsi="PT Astra Serif"/>
          <w:sz w:val="28"/>
          <w:szCs w:val="28"/>
        </w:rPr>
        <w:t xml:space="preserve"> «О назначении главы администрации муниципального образования </w:t>
      </w:r>
      <w:proofErr w:type="spellStart"/>
      <w:r w:rsidRPr="0090791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0791D">
        <w:rPr>
          <w:rFonts w:ascii="PT Astra Serif" w:hAnsi="PT Astra Serif"/>
          <w:sz w:val="28"/>
          <w:szCs w:val="28"/>
        </w:rPr>
        <w:t xml:space="preserve"> район». </w:t>
      </w:r>
      <w:r w:rsidR="0090791D" w:rsidRPr="0090791D">
        <w:rPr>
          <w:rFonts w:ascii="PT Astra Serif" w:hAnsi="PT Astra Serif"/>
          <w:sz w:val="28"/>
          <w:szCs w:val="28"/>
        </w:rPr>
        <w:t>Контракт заключен сроком на 5 лет.</w:t>
      </w:r>
    </w:p>
    <w:p w:rsidR="00F05D11" w:rsidRPr="00DC5871" w:rsidRDefault="00F05D11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и) На 31 декабря 201</w:t>
      </w:r>
      <w:r w:rsidR="00031AE5">
        <w:rPr>
          <w:rFonts w:ascii="PT Astra Serif" w:hAnsi="PT Astra Serif"/>
          <w:sz w:val="28"/>
          <w:szCs w:val="28"/>
        </w:rPr>
        <w:t>9</w:t>
      </w:r>
      <w:r w:rsidRPr="00DC5871">
        <w:rPr>
          <w:rFonts w:ascii="PT Astra Serif" w:hAnsi="PT Astra Serif"/>
          <w:sz w:val="28"/>
          <w:szCs w:val="28"/>
        </w:rPr>
        <w:t xml:space="preserve">г. общая численность работников органов местного самоуправления муниципального образования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 </w:t>
      </w:r>
      <w:r w:rsidRPr="002A1E7B">
        <w:rPr>
          <w:rFonts w:ascii="PT Astra Serif" w:hAnsi="PT Astra Serif"/>
          <w:sz w:val="28"/>
          <w:szCs w:val="28"/>
        </w:rPr>
        <w:t xml:space="preserve">составляет </w:t>
      </w:r>
      <w:r w:rsidR="00333D11" w:rsidRPr="002A1E7B">
        <w:rPr>
          <w:rFonts w:ascii="PT Astra Serif" w:hAnsi="PT Astra Serif"/>
          <w:sz w:val="28"/>
          <w:szCs w:val="28"/>
        </w:rPr>
        <w:t>8</w:t>
      </w:r>
      <w:r w:rsidR="002A1E7B" w:rsidRPr="002A1E7B">
        <w:rPr>
          <w:rFonts w:ascii="PT Astra Serif" w:hAnsi="PT Astra Serif"/>
          <w:sz w:val="28"/>
          <w:szCs w:val="28"/>
        </w:rPr>
        <w:t>7</w:t>
      </w:r>
      <w:r w:rsidRPr="002A1E7B">
        <w:rPr>
          <w:rFonts w:ascii="PT Astra Serif" w:hAnsi="PT Astra Serif"/>
          <w:sz w:val="28"/>
          <w:szCs w:val="28"/>
        </w:rPr>
        <w:t xml:space="preserve"> человек,  из них </w:t>
      </w:r>
      <w:r w:rsidR="00333D11" w:rsidRPr="002A1E7B">
        <w:rPr>
          <w:rFonts w:ascii="PT Astra Serif" w:hAnsi="PT Astra Serif"/>
          <w:sz w:val="28"/>
          <w:szCs w:val="28"/>
        </w:rPr>
        <w:t>5</w:t>
      </w:r>
      <w:r w:rsidR="002A1E7B" w:rsidRPr="002A1E7B">
        <w:rPr>
          <w:rFonts w:ascii="PT Astra Serif" w:hAnsi="PT Astra Serif"/>
          <w:sz w:val="28"/>
          <w:szCs w:val="28"/>
        </w:rPr>
        <w:t>9</w:t>
      </w:r>
      <w:r w:rsidRPr="002A1E7B">
        <w:rPr>
          <w:rFonts w:ascii="PT Astra Serif" w:hAnsi="PT Astra Serif"/>
          <w:sz w:val="28"/>
          <w:szCs w:val="28"/>
        </w:rPr>
        <w:t xml:space="preserve"> штатных единиц - должности муниципальной службы.</w:t>
      </w:r>
      <w:r w:rsidR="00876DDB" w:rsidRPr="002A1E7B">
        <w:rPr>
          <w:rFonts w:ascii="PT Astra Serif" w:hAnsi="PT Astra Serif"/>
          <w:sz w:val="28"/>
          <w:szCs w:val="28"/>
        </w:rPr>
        <w:t xml:space="preserve"> </w:t>
      </w:r>
      <w:r w:rsidRPr="002A1E7B">
        <w:rPr>
          <w:rFonts w:ascii="PT Astra Serif" w:hAnsi="PT Astra Serif"/>
          <w:sz w:val="28"/>
          <w:szCs w:val="28"/>
        </w:rPr>
        <w:t>Из них</w:t>
      </w:r>
      <w:r w:rsidR="00876DDB" w:rsidRPr="002A1E7B">
        <w:rPr>
          <w:rFonts w:ascii="PT Astra Serif" w:hAnsi="PT Astra Serif"/>
          <w:sz w:val="28"/>
          <w:szCs w:val="28"/>
        </w:rPr>
        <w:t xml:space="preserve"> </w:t>
      </w:r>
      <w:r w:rsidR="00333D11" w:rsidRPr="002A1E7B">
        <w:rPr>
          <w:rFonts w:ascii="PT Astra Serif" w:hAnsi="PT Astra Serif"/>
          <w:sz w:val="28"/>
          <w:szCs w:val="28"/>
        </w:rPr>
        <w:t>5</w:t>
      </w:r>
      <w:r w:rsidR="002A1E7B" w:rsidRPr="002A1E7B">
        <w:rPr>
          <w:rFonts w:ascii="PT Astra Serif" w:hAnsi="PT Astra Serif"/>
          <w:sz w:val="28"/>
          <w:szCs w:val="28"/>
        </w:rPr>
        <w:t>9</w:t>
      </w:r>
      <w:r w:rsidRPr="002A1E7B">
        <w:rPr>
          <w:rFonts w:ascii="PT Astra Serif" w:hAnsi="PT Astra Serif"/>
          <w:sz w:val="28"/>
          <w:szCs w:val="28"/>
        </w:rPr>
        <w:t xml:space="preserve"> муниципальных служащих</w:t>
      </w:r>
      <w:r w:rsidR="00876DDB" w:rsidRPr="002A1E7B">
        <w:rPr>
          <w:rFonts w:ascii="PT Astra Serif" w:hAnsi="PT Astra Serif"/>
          <w:sz w:val="28"/>
          <w:szCs w:val="28"/>
        </w:rPr>
        <w:t>,</w:t>
      </w:r>
      <w:r w:rsidRPr="002A1E7B">
        <w:rPr>
          <w:rFonts w:ascii="PT Astra Serif" w:hAnsi="PT Astra Serif"/>
          <w:sz w:val="28"/>
          <w:szCs w:val="28"/>
        </w:rPr>
        <w:t xml:space="preserve"> исполняющих собственные полномочия муниципального образования</w:t>
      </w:r>
      <w:r w:rsidR="00A46908" w:rsidRPr="002A1E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6908" w:rsidRPr="002A1E7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46908" w:rsidRPr="002A1E7B">
        <w:rPr>
          <w:rFonts w:ascii="PT Astra Serif" w:hAnsi="PT Astra Serif"/>
          <w:sz w:val="28"/>
          <w:szCs w:val="28"/>
        </w:rPr>
        <w:t xml:space="preserve"> район, полномочия муниципального образования город </w:t>
      </w:r>
      <w:proofErr w:type="spellStart"/>
      <w:r w:rsidR="00A46908" w:rsidRPr="002A1E7B">
        <w:rPr>
          <w:rFonts w:ascii="PT Astra Serif" w:hAnsi="PT Astra Serif"/>
          <w:sz w:val="28"/>
          <w:szCs w:val="28"/>
        </w:rPr>
        <w:t>Кимовск</w:t>
      </w:r>
      <w:proofErr w:type="spellEnd"/>
      <w:r w:rsidR="00A46908" w:rsidRPr="002A1E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6908" w:rsidRPr="002A1E7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46908" w:rsidRPr="002A1E7B">
        <w:rPr>
          <w:rFonts w:ascii="PT Astra Serif" w:hAnsi="PT Astra Serif"/>
          <w:sz w:val="28"/>
          <w:szCs w:val="28"/>
        </w:rPr>
        <w:t xml:space="preserve"> района и полномочия, переданные муниципальными образованиями, расположенными на территории муниципального образования </w:t>
      </w:r>
      <w:proofErr w:type="spellStart"/>
      <w:r w:rsidR="00A46908" w:rsidRPr="002A1E7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46908" w:rsidRPr="002A1E7B">
        <w:rPr>
          <w:rFonts w:ascii="PT Astra Serif" w:hAnsi="PT Astra Serif"/>
          <w:sz w:val="28"/>
          <w:szCs w:val="28"/>
        </w:rPr>
        <w:t xml:space="preserve"> район</w:t>
      </w:r>
      <w:r w:rsidR="00876DDB" w:rsidRPr="002A1E7B">
        <w:rPr>
          <w:rFonts w:ascii="PT Astra Serif" w:hAnsi="PT Astra Serif"/>
          <w:sz w:val="28"/>
          <w:szCs w:val="28"/>
        </w:rPr>
        <w:t xml:space="preserve">, в том числе </w:t>
      </w:r>
      <w:r w:rsidR="00333D11" w:rsidRPr="002A1E7B">
        <w:rPr>
          <w:rFonts w:ascii="PT Astra Serif" w:hAnsi="PT Astra Serif"/>
          <w:sz w:val="28"/>
          <w:szCs w:val="28"/>
        </w:rPr>
        <w:t>5</w:t>
      </w:r>
      <w:r w:rsidRPr="002A1E7B">
        <w:rPr>
          <w:rFonts w:ascii="PT Astra Serif" w:hAnsi="PT Astra Serif"/>
          <w:sz w:val="28"/>
          <w:szCs w:val="28"/>
        </w:rPr>
        <w:t xml:space="preserve"> муниципальных служащих</w:t>
      </w:r>
      <w:r w:rsidR="00876DDB" w:rsidRPr="002A1E7B">
        <w:rPr>
          <w:rFonts w:ascii="PT Astra Serif" w:hAnsi="PT Astra Serif"/>
          <w:sz w:val="28"/>
          <w:szCs w:val="28"/>
        </w:rPr>
        <w:t>,</w:t>
      </w:r>
      <w:r w:rsidRPr="002A1E7B">
        <w:rPr>
          <w:rFonts w:ascii="PT Astra Serif" w:hAnsi="PT Astra Serif"/>
          <w:sz w:val="28"/>
          <w:szCs w:val="28"/>
        </w:rPr>
        <w:t xml:space="preserve"> исполняющих государственные полномочия</w:t>
      </w:r>
      <w:r w:rsidR="00377A8F" w:rsidRPr="002A1E7B">
        <w:rPr>
          <w:rFonts w:ascii="PT Astra Serif" w:hAnsi="PT Astra Serif"/>
          <w:sz w:val="28"/>
          <w:szCs w:val="28"/>
        </w:rPr>
        <w:t>.</w:t>
      </w:r>
    </w:p>
    <w:p w:rsidR="00C67CA0" w:rsidRPr="00DC5871" w:rsidRDefault="00C67CA0" w:rsidP="007A32D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 xml:space="preserve">к) </w:t>
      </w:r>
      <w:r w:rsidR="00E250C3" w:rsidRPr="00DC5871">
        <w:rPr>
          <w:rFonts w:ascii="PT Astra Serif" w:hAnsi="PT Astra Serif"/>
          <w:color w:val="000000"/>
          <w:sz w:val="28"/>
          <w:szCs w:val="28"/>
        </w:rPr>
        <w:t>О</w:t>
      </w:r>
      <w:r w:rsidRPr="00DC5871">
        <w:rPr>
          <w:rFonts w:ascii="PT Astra Serif" w:hAnsi="PT Astra Serif"/>
          <w:color w:val="000000"/>
          <w:sz w:val="28"/>
          <w:szCs w:val="28"/>
        </w:rPr>
        <w:t>фициальное печатное издание для опубликования правовых актов органов местного самоуправления:</w:t>
      </w:r>
      <w:r w:rsidRPr="00DC5871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DC5871">
        <w:rPr>
          <w:rFonts w:ascii="PT Astra Serif" w:hAnsi="PT Astra Serif"/>
          <w:color w:val="000000"/>
          <w:sz w:val="28"/>
          <w:szCs w:val="28"/>
        </w:rPr>
        <w:t xml:space="preserve"> общественно-политическая газета «Районные будни. </w:t>
      </w:r>
      <w:proofErr w:type="spellStart"/>
      <w:r w:rsidRPr="00DC5871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color w:val="000000"/>
          <w:sz w:val="28"/>
          <w:szCs w:val="28"/>
        </w:rPr>
        <w:t xml:space="preserve"> район».</w:t>
      </w:r>
    </w:p>
    <w:p w:rsidR="00475D8C" w:rsidRPr="00DC5871" w:rsidRDefault="00475D8C" w:rsidP="0091187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>л) Официальный сайт администрации муниципально</w:t>
      </w:r>
      <w:r w:rsidR="00310B20" w:rsidRPr="00DC5871">
        <w:rPr>
          <w:rFonts w:ascii="PT Astra Serif" w:hAnsi="PT Astra Serif"/>
          <w:color w:val="000000"/>
          <w:sz w:val="28"/>
          <w:szCs w:val="28"/>
        </w:rPr>
        <w:t xml:space="preserve">го образования </w:t>
      </w:r>
      <w:proofErr w:type="spellStart"/>
      <w:r w:rsidR="00310B20" w:rsidRPr="00DC5871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310B20" w:rsidRPr="00DC5871">
        <w:rPr>
          <w:rFonts w:ascii="PT Astra Serif" w:hAnsi="PT Astra Serif"/>
          <w:color w:val="000000"/>
          <w:sz w:val="28"/>
          <w:szCs w:val="28"/>
        </w:rPr>
        <w:t xml:space="preserve"> район: </w:t>
      </w:r>
      <w:r w:rsidR="00310B20" w:rsidRPr="00DC5871">
        <w:rPr>
          <w:rFonts w:ascii="PT Astra Serif" w:hAnsi="PT Astra Serif"/>
          <w:sz w:val="28"/>
          <w:szCs w:val="28"/>
        </w:rPr>
        <w:t>kimovsk.tularegion.ru</w:t>
      </w:r>
    </w:p>
    <w:p w:rsidR="00C67CA0" w:rsidRPr="00DC5871" w:rsidRDefault="00C67CA0" w:rsidP="00911873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293A78" w:rsidRPr="00DC5871" w:rsidRDefault="00293A78" w:rsidP="00911873">
      <w:pPr>
        <w:spacing w:after="0" w:line="240" w:lineRule="auto"/>
        <w:ind w:firstLine="720"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DC5871">
        <w:rPr>
          <w:rFonts w:ascii="PT Astra Serif" w:hAnsi="PT Astra Serif"/>
          <w:b/>
          <w:i/>
          <w:sz w:val="28"/>
          <w:szCs w:val="28"/>
          <w:lang w:eastAsia="ru-RU"/>
        </w:rPr>
        <w:t>2. Состояние муниципального образования в 201</w:t>
      </w:r>
      <w:r w:rsidR="00031AE5">
        <w:rPr>
          <w:rFonts w:ascii="PT Astra Serif" w:hAnsi="PT Astra Serif"/>
          <w:b/>
          <w:i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b/>
          <w:i/>
          <w:sz w:val="28"/>
          <w:szCs w:val="28"/>
          <w:lang w:eastAsia="ru-RU"/>
        </w:rPr>
        <w:t xml:space="preserve"> году, динамика развития в сравнении с предыдущим годом и прогноз на 3-летний период.</w:t>
      </w:r>
    </w:p>
    <w:p w:rsidR="00900AFF" w:rsidRPr="00DC5871" w:rsidRDefault="00400630" w:rsidP="00911873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u w:val="single"/>
          <w:lang w:eastAsia="ru-RU"/>
        </w:rPr>
        <w:t>Экономическое развитие</w:t>
      </w:r>
    </w:p>
    <w:p w:rsidR="001F3D5C" w:rsidRDefault="001F3D5C" w:rsidP="007A32D0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C5871">
        <w:rPr>
          <w:rFonts w:ascii="PT Astra Serif" w:hAnsi="PT Astra Serif"/>
          <w:color w:val="000000"/>
          <w:sz w:val="28"/>
          <w:szCs w:val="28"/>
        </w:rPr>
        <w:t>Экономическое развитие муниципального образования является процессом, приводящим к улучшению условий жизни населения. В качестве главной цели экономического развития рассматривается повышение качества жизни населения, при этом преобразования в экономической сфере выступают как средства достижения этой цели.</w:t>
      </w:r>
    </w:p>
    <w:p w:rsidR="009250C8" w:rsidRPr="009250C8" w:rsidRDefault="009250C8" w:rsidP="009250C8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250C8">
        <w:rPr>
          <w:rFonts w:ascii="PT Astra Serif" w:hAnsi="PT Astra Serif"/>
          <w:color w:val="000000"/>
          <w:sz w:val="28"/>
          <w:szCs w:val="28"/>
        </w:rPr>
        <w:t>Положение района  напрямую зависит от экономической стабильности, развития предприятий, предпринимательского сообщества. И по этому направлению жизнедеятельности мы традиционно выделяем развитие промышленности, сельского хозяйства, малого и среднего предпринимательства, вопросы занятости населения.</w:t>
      </w:r>
    </w:p>
    <w:p w:rsidR="009250C8" w:rsidRPr="00BE02B2" w:rsidRDefault="009250C8" w:rsidP="009250C8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E02B2">
        <w:rPr>
          <w:rFonts w:ascii="PT Astra Serif" w:hAnsi="PT Astra Serif"/>
          <w:color w:val="000000"/>
          <w:sz w:val="28"/>
          <w:szCs w:val="28"/>
        </w:rPr>
        <w:t xml:space="preserve">Для промышленных предприятий 2019 год был непростым.  Многие предприятия </w:t>
      </w:r>
      <w:proofErr w:type="spellStart"/>
      <w:r w:rsidRPr="00BE02B2">
        <w:rPr>
          <w:rFonts w:ascii="PT Astra Serif" w:hAnsi="PT Astra Serif"/>
          <w:color w:val="000000"/>
          <w:sz w:val="28"/>
          <w:szCs w:val="28"/>
        </w:rPr>
        <w:t>Кимовского</w:t>
      </w:r>
      <w:proofErr w:type="spellEnd"/>
      <w:r w:rsidRPr="00BE02B2">
        <w:rPr>
          <w:rFonts w:ascii="PT Astra Serif" w:hAnsi="PT Astra Serif"/>
          <w:color w:val="000000"/>
          <w:sz w:val="28"/>
          <w:szCs w:val="28"/>
        </w:rPr>
        <w:t xml:space="preserve"> района связаны с работой оборонно-промышленного комплекса, где имеется много особенностей в получении заказов и оплате за выполненные работы и поставленную продукцию. </w:t>
      </w:r>
    </w:p>
    <w:p w:rsidR="009250C8" w:rsidRPr="00BE02B2" w:rsidRDefault="009250C8" w:rsidP="009250C8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E02B2">
        <w:rPr>
          <w:rFonts w:ascii="PT Astra Serif" w:hAnsi="PT Astra Serif"/>
          <w:color w:val="000000"/>
          <w:sz w:val="28"/>
          <w:szCs w:val="28"/>
        </w:rPr>
        <w:t>Но, несмотря на это, увеличился объем выпускаемой продукции, созданы новые рабочие места, проводилась модернизация производств.</w:t>
      </w:r>
    </w:p>
    <w:p w:rsidR="009250C8" w:rsidRPr="009250C8" w:rsidRDefault="009250C8" w:rsidP="009250C8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E02B2">
        <w:rPr>
          <w:rFonts w:ascii="PT Astra Serif" w:hAnsi="PT Astra Serif"/>
          <w:color w:val="000000"/>
          <w:sz w:val="28"/>
          <w:szCs w:val="28"/>
        </w:rPr>
        <w:t xml:space="preserve">За 2019 год отгружено товаров собственного производства, выполнено работ и услуг собственными силами организаций на сумму 6,97 млрд. руб. или 138,5% к 2018 году, в том числе по виду экономической деятельности </w:t>
      </w:r>
      <w:r w:rsidRPr="00BE02B2">
        <w:rPr>
          <w:rFonts w:ascii="PT Astra Serif" w:hAnsi="PT Astra Serif"/>
          <w:color w:val="000000"/>
          <w:sz w:val="28"/>
          <w:szCs w:val="28"/>
        </w:rPr>
        <w:lastRenderedPageBreak/>
        <w:t>«обрабатывающие производства» на сумму 5,6 млрд. руб., темп роста составил 137,4% к прошлому году.</w:t>
      </w:r>
    </w:p>
    <w:p w:rsidR="000079E9" w:rsidRPr="00DC5871" w:rsidRDefault="000079E9" w:rsidP="000079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C1361C" w:rsidRPr="00DC5871" w:rsidRDefault="00C1361C" w:rsidP="000079E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b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400630" w:rsidRPr="00DC5871" w:rsidRDefault="00400630" w:rsidP="007A3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Малый и средний бизнес рассматривается как один из главных факторов экономического роста – поскольку он быстро адаптируется к изменяющимся условиям рынка, социально ориентирован, создает новые рабочие места.</w:t>
      </w:r>
    </w:p>
    <w:p w:rsidR="00C55E9E" w:rsidRDefault="000D0382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Количество субъектов малого и среднего п</w:t>
      </w:r>
      <w:r w:rsidR="00407D46" w:rsidRPr="00DC5871">
        <w:rPr>
          <w:rFonts w:ascii="PT Astra Serif" w:hAnsi="PT Astra Serif"/>
          <w:sz w:val="28"/>
          <w:szCs w:val="28"/>
        </w:rPr>
        <w:t xml:space="preserve">редпринимательства составляет </w:t>
      </w:r>
      <w:r w:rsidR="00BF2B8D">
        <w:rPr>
          <w:rFonts w:ascii="PT Astra Serif" w:hAnsi="PT Astra Serif"/>
          <w:sz w:val="28"/>
          <w:szCs w:val="28"/>
        </w:rPr>
        <w:t>1303</w:t>
      </w:r>
      <w:r w:rsidRPr="00DC5871">
        <w:rPr>
          <w:rFonts w:ascii="PT Astra Serif" w:hAnsi="PT Astra Serif"/>
          <w:sz w:val="28"/>
          <w:szCs w:val="28"/>
        </w:rPr>
        <w:t xml:space="preserve"> единиц</w:t>
      </w:r>
      <w:r w:rsidR="00BF2B8D">
        <w:rPr>
          <w:rFonts w:ascii="PT Astra Serif" w:hAnsi="PT Astra Serif"/>
          <w:sz w:val="28"/>
          <w:szCs w:val="28"/>
        </w:rPr>
        <w:t>ы</w:t>
      </w:r>
      <w:r w:rsidRPr="00DC5871">
        <w:rPr>
          <w:rFonts w:ascii="PT Astra Serif" w:hAnsi="PT Astra Serif"/>
          <w:sz w:val="28"/>
          <w:szCs w:val="28"/>
        </w:rPr>
        <w:t xml:space="preserve"> (</w:t>
      </w:r>
      <w:r w:rsidR="00407D46" w:rsidRPr="00DC5871">
        <w:rPr>
          <w:rFonts w:ascii="PT Astra Serif" w:hAnsi="PT Astra Serif"/>
          <w:sz w:val="28"/>
          <w:szCs w:val="28"/>
        </w:rPr>
        <w:t>4</w:t>
      </w:r>
      <w:r w:rsidR="00C55E9E" w:rsidRPr="00DC5871">
        <w:rPr>
          <w:rFonts w:ascii="PT Astra Serif" w:hAnsi="PT Astra Serif"/>
          <w:sz w:val="28"/>
          <w:szCs w:val="28"/>
        </w:rPr>
        <w:t xml:space="preserve"> средних предприятий; </w:t>
      </w:r>
      <w:r w:rsidR="00BF2B8D">
        <w:rPr>
          <w:rFonts w:ascii="PT Astra Serif" w:hAnsi="PT Astra Serif"/>
          <w:sz w:val="28"/>
          <w:szCs w:val="28"/>
        </w:rPr>
        <w:t>278</w:t>
      </w:r>
      <w:r w:rsidR="00C55E9E" w:rsidRPr="00DC5871">
        <w:rPr>
          <w:rFonts w:ascii="PT Astra Serif" w:hAnsi="PT Astra Serif"/>
          <w:sz w:val="28"/>
          <w:szCs w:val="28"/>
        </w:rPr>
        <w:t xml:space="preserve"> малых предприятий; </w:t>
      </w:r>
      <w:r w:rsidR="00BF2B8D">
        <w:rPr>
          <w:rFonts w:ascii="PT Astra Serif" w:hAnsi="PT Astra Serif"/>
          <w:sz w:val="28"/>
          <w:szCs w:val="28"/>
        </w:rPr>
        <w:t>1021</w:t>
      </w:r>
      <w:r w:rsidR="00C55E9E" w:rsidRPr="00DC5871">
        <w:rPr>
          <w:rFonts w:ascii="PT Astra Serif" w:hAnsi="PT Astra Serif"/>
          <w:sz w:val="28"/>
          <w:szCs w:val="28"/>
        </w:rPr>
        <w:t xml:space="preserve"> индивидуальных предпринимател</w:t>
      </w:r>
      <w:r w:rsidR="00DF6EEE" w:rsidRPr="00DC5871">
        <w:rPr>
          <w:rFonts w:ascii="PT Astra Serif" w:hAnsi="PT Astra Serif"/>
          <w:sz w:val="28"/>
          <w:szCs w:val="28"/>
        </w:rPr>
        <w:t>ей</w:t>
      </w:r>
      <w:r w:rsidR="00F622A5" w:rsidRPr="00DC5871">
        <w:rPr>
          <w:rFonts w:ascii="PT Astra Serif" w:hAnsi="PT Astra Serif"/>
          <w:sz w:val="28"/>
          <w:szCs w:val="28"/>
        </w:rPr>
        <w:t>)</w:t>
      </w:r>
      <w:r w:rsidR="00C55E9E" w:rsidRPr="00DC5871">
        <w:rPr>
          <w:rFonts w:ascii="PT Astra Serif" w:hAnsi="PT Astra Serif"/>
          <w:sz w:val="28"/>
          <w:szCs w:val="28"/>
        </w:rPr>
        <w:t xml:space="preserve">. </w:t>
      </w:r>
    </w:p>
    <w:p w:rsidR="00815F84" w:rsidRPr="00BE02B2" w:rsidRDefault="00815F84" w:rsidP="00815F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02B2">
        <w:rPr>
          <w:rFonts w:ascii="PT Astra Serif" w:hAnsi="PT Astra Serif"/>
          <w:sz w:val="28"/>
          <w:szCs w:val="28"/>
        </w:rPr>
        <w:t xml:space="preserve">Оборот розничной торговли за 2019 год достиг свыше 3,3 млрд. руб., </w:t>
      </w:r>
      <w:r w:rsidR="00BE02B2" w:rsidRPr="00BE02B2">
        <w:rPr>
          <w:rFonts w:ascii="PT Astra Serif" w:hAnsi="PT Astra Serif"/>
          <w:sz w:val="28"/>
          <w:szCs w:val="28"/>
        </w:rPr>
        <w:t>темп роста к прошлому году – 10</w:t>
      </w:r>
      <w:r w:rsidR="00BE02B2">
        <w:rPr>
          <w:rFonts w:ascii="PT Astra Serif" w:hAnsi="PT Astra Serif"/>
          <w:sz w:val="28"/>
          <w:szCs w:val="28"/>
        </w:rPr>
        <w:t>0</w:t>
      </w:r>
      <w:r w:rsidR="00BE02B2" w:rsidRPr="00BE02B2">
        <w:rPr>
          <w:rFonts w:ascii="PT Astra Serif" w:hAnsi="PT Astra Serif"/>
          <w:sz w:val="28"/>
          <w:szCs w:val="28"/>
        </w:rPr>
        <w:t>,2</w:t>
      </w:r>
      <w:r w:rsidRPr="00BE02B2">
        <w:rPr>
          <w:rFonts w:ascii="PT Astra Serif" w:hAnsi="PT Astra Serif"/>
          <w:sz w:val="28"/>
          <w:szCs w:val="28"/>
        </w:rPr>
        <w:t xml:space="preserve">%. </w:t>
      </w:r>
    </w:p>
    <w:p w:rsidR="00815F84" w:rsidRPr="00DC5871" w:rsidRDefault="00815F84" w:rsidP="00815F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02B2">
        <w:rPr>
          <w:rFonts w:ascii="PT Astra Serif" w:hAnsi="PT Astra Serif"/>
          <w:sz w:val="28"/>
          <w:szCs w:val="28"/>
        </w:rPr>
        <w:t>За отчетный год открыто 12 объектов потребительского рынка, в том числе 2 сетевых магазина (Светофор и Верный).</w:t>
      </w:r>
    </w:p>
    <w:p w:rsidR="00C518B0" w:rsidRPr="00DC5871" w:rsidRDefault="00791E03" w:rsidP="007A32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Средняя заработная плата работников в сфере малого и среднего предпринимательства за 201</w:t>
      </w:r>
      <w:r w:rsidR="00BF2B8D">
        <w:rPr>
          <w:rFonts w:ascii="PT Astra Serif" w:hAnsi="PT Astra Serif"/>
          <w:sz w:val="28"/>
          <w:szCs w:val="28"/>
        </w:rPr>
        <w:t>9</w:t>
      </w:r>
      <w:r w:rsidRPr="00DC5871">
        <w:rPr>
          <w:rFonts w:ascii="PT Astra Serif" w:hAnsi="PT Astra Serif"/>
          <w:sz w:val="28"/>
          <w:szCs w:val="28"/>
        </w:rPr>
        <w:t xml:space="preserve"> год составила </w:t>
      </w:r>
      <w:r w:rsidR="00BF2B8D" w:rsidRPr="00BF2B8D">
        <w:rPr>
          <w:rFonts w:ascii="PT Astra Serif" w:hAnsi="PT Astra Serif"/>
          <w:sz w:val="28"/>
          <w:szCs w:val="28"/>
        </w:rPr>
        <w:t xml:space="preserve">24585,8 </w:t>
      </w:r>
      <w:r w:rsidRPr="00DC5871">
        <w:rPr>
          <w:rFonts w:ascii="PT Astra Serif" w:hAnsi="PT Astra Serif"/>
          <w:sz w:val="28"/>
          <w:szCs w:val="28"/>
        </w:rPr>
        <w:t xml:space="preserve">рублей, темп роста к прошлому году составил </w:t>
      </w:r>
      <w:r w:rsidR="00BF2B8D">
        <w:rPr>
          <w:rFonts w:ascii="PT Astra Serif" w:hAnsi="PT Astra Serif"/>
          <w:sz w:val="28"/>
          <w:szCs w:val="28"/>
        </w:rPr>
        <w:t>105,0</w:t>
      </w:r>
      <w:r w:rsidR="00407D46" w:rsidRPr="00DC587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>%.</w:t>
      </w:r>
      <w:r w:rsidR="00C518B0" w:rsidRPr="00DC5871">
        <w:rPr>
          <w:rFonts w:ascii="PT Astra Serif" w:hAnsi="PT Astra Serif"/>
          <w:sz w:val="28"/>
          <w:szCs w:val="28"/>
        </w:rPr>
        <w:t xml:space="preserve"> </w:t>
      </w:r>
    </w:p>
    <w:p w:rsidR="00BF2B8D" w:rsidRDefault="007F2E3E" w:rsidP="007A32D0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Удельный вес налоговых поступлений от субъектов малого и сред</w:t>
      </w:r>
      <w:r w:rsidR="00BF2B8D">
        <w:rPr>
          <w:rFonts w:ascii="PT Astra Serif" w:hAnsi="PT Astra Serif"/>
          <w:sz w:val="28"/>
          <w:szCs w:val="28"/>
        </w:rPr>
        <w:t>него предпринимательства за 2019</w:t>
      </w:r>
      <w:r w:rsidRPr="00DC5871">
        <w:rPr>
          <w:rFonts w:ascii="PT Astra Serif" w:hAnsi="PT Astra Serif"/>
          <w:sz w:val="28"/>
          <w:szCs w:val="28"/>
        </w:rPr>
        <w:t xml:space="preserve"> год составил </w:t>
      </w:r>
      <w:r w:rsidR="00BF2B8D" w:rsidRPr="00BF2B8D">
        <w:rPr>
          <w:rFonts w:ascii="PT Astra Serif" w:hAnsi="PT Astra Serif"/>
          <w:sz w:val="28"/>
          <w:szCs w:val="28"/>
        </w:rPr>
        <w:t xml:space="preserve">15,3 % в общем объеме налоговых поступлений в консолидированный бюджет муниципального образования, что на 3478,8 тыс. руб. больше отчётного периода </w:t>
      </w:r>
      <w:r w:rsidR="00BF2B8D">
        <w:rPr>
          <w:rFonts w:ascii="PT Astra Serif" w:hAnsi="PT Astra Serif"/>
          <w:sz w:val="28"/>
          <w:szCs w:val="28"/>
        </w:rPr>
        <w:t>2018</w:t>
      </w:r>
      <w:r w:rsidR="00BF2B8D" w:rsidRPr="00BF2B8D">
        <w:rPr>
          <w:rFonts w:ascii="PT Astra Serif" w:hAnsi="PT Astra Serif"/>
          <w:sz w:val="28"/>
          <w:szCs w:val="28"/>
        </w:rPr>
        <w:t xml:space="preserve"> года. </w:t>
      </w:r>
    </w:p>
    <w:p w:rsidR="00815F84" w:rsidRDefault="00815F84" w:rsidP="007A32D0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E02B2">
        <w:rPr>
          <w:rFonts w:ascii="PT Astra Serif" w:hAnsi="PT Astra Serif"/>
          <w:sz w:val="28"/>
          <w:szCs w:val="28"/>
        </w:rPr>
        <w:t xml:space="preserve">В области и районе реализуется много мер поддержки субъектам малого и среднего предпринимательства. </w:t>
      </w:r>
      <w:proofErr w:type="gramStart"/>
      <w:r w:rsidRPr="00BE02B2">
        <w:rPr>
          <w:rFonts w:ascii="PT Astra Serif" w:hAnsi="PT Astra Serif"/>
          <w:sz w:val="28"/>
          <w:szCs w:val="28"/>
        </w:rPr>
        <w:t xml:space="preserve">За год </w:t>
      </w:r>
      <w:proofErr w:type="spellStart"/>
      <w:r w:rsidRPr="00BE02B2">
        <w:rPr>
          <w:rFonts w:ascii="PT Astra Serif" w:hAnsi="PT Astra Serif"/>
          <w:sz w:val="28"/>
          <w:szCs w:val="28"/>
        </w:rPr>
        <w:t>Кимовским</w:t>
      </w:r>
      <w:proofErr w:type="spellEnd"/>
      <w:r w:rsidRPr="00BE02B2">
        <w:rPr>
          <w:rFonts w:ascii="PT Astra Serif" w:hAnsi="PT Astra Serif"/>
          <w:sz w:val="28"/>
          <w:szCs w:val="28"/>
        </w:rPr>
        <w:t xml:space="preserve"> муниципальным фондом поддержки малого предпринимательства выдано 10 </w:t>
      </w:r>
      <w:proofErr w:type="spellStart"/>
      <w:r w:rsidRPr="00BE02B2">
        <w:rPr>
          <w:rFonts w:ascii="PT Astra Serif" w:hAnsi="PT Astra Serif"/>
          <w:sz w:val="28"/>
          <w:szCs w:val="28"/>
        </w:rPr>
        <w:t>микрозаймов</w:t>
      </w:r>
      <w:proofErr w:type="spellEnd"/>
      <w:r w:rsidRPr="00BE02B2">
        <w:rPr>
          <w:rFonts w:ascii="PT Astra Serif" w:hAnsi="PT Astra Serif"/>
          <w:sz w:val="28"/>
          <w:szCs w:val="28"/>
        </w:rPr>
        <w:t xml:space="preserve"> на сумму около 2,85 млн. рублей. 8 ИП  и 2 ООО воспользовались возможностями получения займов по льготный % ставке в Тульском фонде поддержки МСП.</w:t>
      </w:r>
      <w:proofErr w:type="gramEnd"/>
    </w:p>
    <w:p w:rsidR="00B80FC2" w:rsidRPr="00DC5871" w:rsidRDefault="000D0382" w:rsidP="007A32D0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За 201</w:t>
      </w:r>
      <w:r w:rsidR="00BF2B8D">
        <w:rPr>
          <w:rFonts w:ascii="PT Astra Serif" w:hAnsi="PT Astra Serif"/>
          <w:sz w:val="28"/>
          <w:szCs w:val="28"/>
        </w:rPr>
        <w:t>9</w:t>
      </w:r>
      <w:r w:rsidRPr="00DC5871">
        <w:rPr>
          <w:rFonts w:ascii="PT Astra Serif" w:hAnsi="PT Astra Serif"/>
          <w:sz w:val="28"/>
          <w:szCs w:val="28"/>
        </w:rPr>
        <w:t xml:space="preserve"> год было создано </w:t>
      </w:r>
      <w:r w:rsidR="00BF2B8D">
        <w:rPr>
          <w:rFonts w:ascii="PT Astra Serif" w:hAnsi="PT Astra Serif"/>
          <w:sz w:val="28"/>
          <w:szCs w:val="28"/>
        </w:rPr>
        <w:t>527</w:t>
      </w:r>
      <w:r w:rsidR="00B80FC2" w:rsidRPr="00DC5871">
        <w:rPr>
          <w:rFonts w:ascii="PT Astra Serif" w:hAnsi="PT Astra Serif"/>
          <w:sz w:val="28"/>
          <w:szCs w:val="28"/>
        </w:rPr>
        <w:t xml:space="preserve"> рабочих мест, </w:t>
      </w:r>
      <w:r w:rsidR="00791E03" w:rsidRPr="00DC5871">
        <w:rPr>
          <w:rFonts w:ascii="PT Astra Serif" w:hAnsi="PT Astra Serif"/>
          <w:sz w:val="28"/>
          <w:szCs w:val="28"/>
        </w:rPr>
        <w:t xml:space="preserve"> </w:t>
      </w:r>
      <w:r w:rsidR="00B80FC2" w:rsidRPr="00DC5871">
        <w:rPr>
          <w:rFonts w:ascii="PT Astra Serif" w:hAnsi="PT Astra Serif"/>
          <w:sz w:val="28"/>
          <w:szCs w:val="28"/>
        </w:rPr>
        <w:t xml:space="preserve">из них новые рабочие места - </w:t>
      </w:r>
      <w:r w:rsidR="00BF2B8D">
        <w:rPr>
          <w:rFonts w:ascii="PT Astra Serif" w:hAnsi="PT Astra Serif"/>
          <w:sz w:val="28"/>
          <w:szCs w:val="28"/>
        </w:rPr>
        <w:t>354 (20 сельское хозяйство; 52</w:t>
      </w:r>
      <w:r w:rsidR="00B80FC2" w:rsidRPr="00DC5871">
        <w:rPr>
          <w:rFonts w:ascii="PT Astra Serif" w:hAnsi="PT Astra Serif"/>
          <w:sz w:val="28"/>
          <w:szCs w:val="28"/>
        </w:rPr>
        <w:t xml:space="preserve"> производственная сфера; </w:t>
      </w:r>
      <w:r w:rsidR="00BF2B8D">
        <w:rPr>
          <w:rFonts w:ascii="PT Astra Serif" w:hAnsi="PT Astra Serif"/>
          <w:sz w:val="28"/>
          <w:szCs w:val="28"/>
        </w:rPr>
        <w:t>251</w:t>
      </w:r>
      <w:r w:rsidR="00B80FC2" w:rsidRPr="00DC5871">
        <w:rPr>
          <w:rFonts w:ascii="PT Astra Serif" w:hAnsi="PT Astra Serif"/>
          <w:sz w:val="28"/>
          <w:szCs w:val="28"/>
        </w:rPr>
        <w:t xml:space="preserve"> сфера торговли и услуг; </w:t>
      </w:r>
      <w:r w:rsidR="00BF2B8D">
        <w:rPr>
          <w:rFonts w:ascii="PT Astra Serif" w:hAnsi="PT Astra Serif"/>
          <w:sz w:val="28"/>
          <w:szCs w:val="28"/>
        </w:rPr>
        <w:t>31</w:t>
      </w:r>
      <w:r w:rsidR="00B80FC2" w:rsidRPr="00DC5871">
        <w:rPr>
          <w:rFonts w:ascii="PT Astra Serif" w:hAnsi="PT Astra Serif"/>
          <w:sz w:val="28"/>
          <w:szCs w:val="28"/>
        </w:rPr>
        <w:t xml:space="preserve"> прочее) и 1</w:t>
      </w:r>
      <w:r w:rsidR="00BF2B8D">
        <w:rPr>
          <w:rFonts w:ascii="PT Astra Serif" w:hAnsi="PT Astra Serif"/>
          <w:sz w:val="28"/>
          <w:szCs w:val="28"/>
        </w:rPr>
        <w:t>73</w:t>
      </w:r>
      <w:r w:rsidR="00B80FC2" w:rsidRPr="00DC5871">
        <w:rPr>
          <w:rFonts w:ascii="PT Astra Serif" w:hAnsi="PT Astra Serif"/>
          <w:sz w:val="28"/>
          <w:szCs w:val="28"/>
        </w:rPr>
        <w:t xml:space="preserve"> легализация трудовых отношений.</w:t>
      </w:r>
    </w:p>
    <w:p w:rsidR="00400630" w:rsidRPr="00DC5871" w:rsidRDefault="00400630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DC5871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5871">
        <w:rPr>
          <w:rFonts w:ascii="PT Astra Serif" w:hAnsi="PT Astra Serif"/>
          <w:sz w:val="28"/>
          <w:szCs w:val="28"/>
          <w:lang w:eastAsia="ru-RU"/>
        </w:rPr>
        <w:t>Кимовском</w:t>
      </w:r>
      <w:proofErr w:type="spellEnd"/>
      <w:proofErr w:type="gramEnd"/>
      <w:r w:rsidRPr="00DC5871">
        <w:rPr>
          <w:rFonts w:ascii="PT Astra Serif" w:hAnsi="PT Astra Serif"/>
          <w:sz w:val="28"/>
          <w:szCs w:val="28"/>
          <w:lang w:eastAsia="ru-RU"/>
        </w:rPr>
        <w:t xml:space="preserve"> районе число субъектов малого и среднего предпринимательства (с учетом индивидуальных предпринимателей) на 10000 человек населения в 201</w:t>
      </w:r>
      <w:r w:rsidR="00D02852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составило </w:t>
      </w:r>
      <w:r w:rsidR="00D02852">
        <w:rPr>
          <w:rFonts w:ascii="PT Astra Serif" w:hAnsi="PT Astra Serif"/>
          <w:sz w:val="28"/>
          <w:szCs w:val="28"/>
          <w:lang w:eastAsia="ru-RU"/>
        </w:rPr>
        <w:t>352,2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ед</w:t>
      </w:r>
      <w:r w:rsidR="00EE4609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Pr="00DC5871">
        <w:rPr>
          <w:rFonts w:ascii="PT Astra Serif" w:hAnsi="PT Astra Serif"/>
          <w:sz w:val="28"/>
          <w:szCs w:val="28"/>
          <w:lang w:eastAsia="ru-RU"/>
        </w:rPr>
        <w:t>, в 201</w:t>
      </w:r>
      <w:r w:rsidR="00D02852">
        <w:rPr>
          <w:rFonts w:ascii="PT Astra Serif" w:hAnsi="PT Astra Serif"/>
          <w:sz w:val="28"/>
          <w:szCs w:val="28"/>
          <w:lang w:eastAsia="ru-RU"/>
        </w:rPr>
        <w:t>8</w:t>
      </w:r>
      <w:r w:rsidR="00EE4609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г</w:t>
      </w:r>
      <w:r w:rsidR="00EE4609" w:rsidRPr="00DC5871">
        <w:rPr>
          <w:rFonts w:ascii="PT Astra Serif" w:hAnsi="PT Astra Serif"/>
          <w:sz w:val="28"/>
          <w:szCs w:val="28"/>
          <w:lang w:eastAsia="ru-RU"/>
        </w:rPr>
        <w:t>оду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– </w:t>
      </w:r>
      <w:r w:rsidR="00D02852">
        <w:rPr>
          <w:rFonts w:ascii="PT Astra Serif" w:hAnsi="PT Astra Serif"/>
          <w:sz w:val="28"/>
          <w:szCs w:val="28"/>
          <w:lang w:eastAsia="ru-RU"/>
        </w:rPr>
        <w:t>356,8</w:t>
      </w:r>
      <w:r w:rsidRPr="00DC5871">
        <w:rPr>
          <w:rFonts w:ascii="PT Astra Serif" w:hAnsi="PT Astra Serif"/>
          <w:sz w:val="28"/>
          <w:szCs w:val="28"/>
          <w:lang w:eastAsia="ru-RU"/>
        </w:rPr>
        <w:t>ед</w:t>
      </w:r>
      <w:r w:rsidR="00EE4609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B6B" w:rsidRPr="00DC5871">
        <w:rPr>
          <w:rFonts w:ascii="PT Astra Serif" w:hAnsi="PT Astra Serif"/>
          <w:sz w:val="28"/>
          <w:szCs w:val="28"/>
          <w:lang w:eastAsia="ru-RU"/>
        </w:rPr>
        <w:t>К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EB38E0">
        <w:rPr>
          <w:rFonts w:ascii="PT Astra Serif" w:hAnsi="PT Astra Serif"/>
          <w:sz w:val="28"/>
          <w:szCs w:val="28"/>
          <w:lang w:eastAsia="ru-RU"/>
        </w:rPr>
        <w:t>22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году этот показатель планируется на уровне </w:t>
      </w:r>
      <w:r w:rsidR="00EB38E0">
        <w:rPr>
          <w:rFonts w:ascii="PT Astra Serif" w:hAnsi="PT Astra Serif"/>
          <w:sz w:val="28"/>
          <w:szCs w:val="28"/>
          <w:lang w:eastAsia="ru-RU"/>
        </w:rPr>
        <w:t>362,9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ед.</w:t>
      </w:r>
    </w:p>
    <w:p w:rsidR="003E3BED" w:rsidRPr="00580AEF" w:rsidRDefault="003E3BED" w:rsidP="007A3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852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230C019C" wp14:editId="1EA68DE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0630" w:rsidRPr="00DC5871" w:rsidRDefault="00400630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района </w:t>
      </w:r>
      <w:r w:rsidRPr="00DC5871">
        <w:rPr>
          <w:rFonts w:ascii="PT Astra Serif" w:hAnsi="PT Astra Serif"/>
          <w:sz w:val="28"/>
          <w:szCs w:val="28"/>
          <w:lang w:eastAsia="ru-RU"/>
        </w:rPr>
        <w:t>в 201</w:t>
      </w:r>
      <w:r w:rsidR="00D02852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составила </w:t>
      </w:r>
      <w:r w:rsidR="00D02852">
        <w:rPr>
          <w:rFonts w:ascii="PT Astra Serif" w:hAnsi="PT Astra Serif"/>
          <w:sz w:val="28"/>
          <w:szCs w:val="28"/>
          <w:lang w:eastAsia="ru-RU"/>
        </w:rPr>
        <w:t>38,4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%, в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D02852">
        <w:rPr>
          <w:rFonts w:ascii="PT Astra Serif" w:hAnsi="PT Astra Serif"/>
          <w:sz w:val="28"/>
          <w:szCs w:val="28"/>
          <w:lang w:eastAsia="ru-RU"/>
        </w:rPr>
        <w:t>8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году</w:t>
      </w:r>
      <w:r w:rsidR="00EB38E0">
        <w:rPr>
          <w:rFonts w:ascii="PT Astra Serif" w:hAnsi="PT Astra Serif"/>
          <w:sz w:val="28"/>
          <w:szCs w:val="28"/>
          <w:lang w:eastAsia="ru-RU"/>
        </w:rPr>
        <w:t xml:space="preserve"> -</w:t>
      </w:r>
      <w:r w:rsidR="00C4738F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2852">
        <w:rPr>
          <w:rFonts w:ascii="PT Astra Serif" w:hAnsi="PT Astra Serif"/>
          <w:sz w:val="28"/>
          <w:szCs w:val="28"/>
          <w:lang w:eastAsia="ru-RU"/>
        </w:rPr>
        <w:t>38,9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%.</w:t>
      </w:r>
      <w:r w:rsidR="00107B6B" w:rsidRPr="00DC5871">
        <w:rPr>
          <w:rFonts w:ascii="PT Astra Serif" w:hAnsi="PT Astra Serif"/>
          <w:sz w:val="28"/>
          <w:szCs w:val="28"/>
          <w:lang w:eastAsia="ru-RU"/>
        </w:rPr>
        <w:t xml:space="preserve"> На 20</w:t>
      </w:r>
      <w:r w:rsidR="00D02852">
        <w:rPr>
          <w:rFonts w:ascii="PT Astra Serif" w:hAnsi="PT Astra Serif"/>
          <w:sz w:val="28"/>
          <w:szCs w:val="28"/>
          <w:lang w:eastAsia="ru-RU"/>
        </w:rPr>
        <w:t>22</w:t>
      </w:r>
      <w:r w:rsidR="00107B6B" w:rsidRPr="00DC5871">
        <w:rPr>
          <w:rFonts w:ascii="PT Astra Serif" w:hAnsi="PT Astra Serif"/>
          <w:sz w:val="28"/>
          <w:szCs w:val="28"/>
          <w:lang w:eastAsia="ru-RU"/>
        </w:rPr>
        <w:t xml:space="preserve"> год – </w:t>
      </w:r>
      <w:r w:rsidR="00D02852">
        <w:rPr>
          <w:rFonts w:ascii="PT Astra Serif" w:hAnsi="PT Astra Serif"/>
          <w:sz w:val="28"/>
          <w:szCs w:val="28"/>
          <w:lang w:eastAsia="ru-RU"/>
        </w:rPr>
        <w:t>39,6</w:t>
      </w:r>
      <w:r w:rsidR="00C05381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B6B" w:rsidRPr="00DC5871">
        <w:rPr>
          <w:rFonts w:ascii="PT Astra Serif" w:hAnsi="PT Astra Serif"/>
          <w:sz w:val="28"/>
          <w:szCs w:val="28"/>
          <w:lang w:eastAsia="ru-RU"/>
        </w:rPr>
        <w:t>%.</w:t>
      </w:r>
    </w:p>
    <w:p w:rsidR="00C1361C" w:rsidRPr="00DC5871" w:rsidRDefault="00C1361C" w:rsidP="007A32D0">
      <w:pPr>
        <w:spacing w:after="0" w:line="240" w:lineRule="auto"/>
        <w:ind w:firstLine="53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Инвестиционная привлекательность</w:t>
      </w:r>
    </w:p>
    <w:p w:rsidR="00F01741" w:rsidRDefault="00F01741" w:rsidP="007A32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5871">
        <w:rPr>
          <w:rFonts w:ascii="PT Astra Serif" w:hAnsi="PT Astra Serif"/>
          <w:bCs/>
          <w:sz w:val="28"/>
          <w:szCs w:val="28"/>
          <w:lang w:eastAsia="ru-RU"/>
        </w:rPr>
        <w:t>Привлечение инвестиций является одним из важнейших ры</w:t>
      </w:r>
      <w:r w:rsidR="009B3D8A">
        <w:rPr>
          <w:rFonts w:ascii="PT Astra Serif" w:hAnsi="PT Astra Serif"/>
          <w:bCs/>
          <w:sz w:val="28"/>
          <w:szCs w:val="28"/>
          <w:lang w:eastAsia="ru-RU"/>
        </w:rPr>
        <w:t>чагов воздействия на социально-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экономическое развитие муниципального образования. </w:t>
      </w:r>
      <w:r w:rsidR="00805B92" w:rsidRPr="00DC5871">
        <w:rPr>
          <w:rFonts w:ascii="PT Astra Serif" w:hAnsi="PT Astra Serif"/>
          <w:bCs/>
          <w:sz w:val="28"/>
          <w:szCs w:val="28"/>
          <w:lang w:eastAsia="ru-RU"/>
        </w:rPr>
        <w:t>Д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>анн</w:t>
      </w:r>
      <w:r w:rsidR="00805B92" w:rsidRPr="00DC5871">
        <w:rPr>
          <w:rFonts w:ascii="PT Astra Serif" w:hAnsi="PT Astra Serif"/>
          <w:bCs/>
          <w:sz w:val="28"/>
          <w:szCs w:val="28"/>
          <w:lang w:eastAsia="ru-RU"/>
        </w:rPr>
        <w:t>ый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 показател</w:t>
      </w:r>
      <w:r w:rsidR="00805B92" w:rsidRPr="00DC5871">
        <w:rPr>
          <w:rFonts w:ascii="PT Astra Serif" w:hAnsi="PT Astra Serif"/>
          <w:bCs/>
          <w:sz w:val="28"/>
          <w:szCs w:val="28"/>
          <w:lang w:eastAsia="ru-RU"/>
        </w:rPr>
        <w:t>ь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 характеризу</w:t>
      </w:r>
      <w:r w:rsidR="00CB2968" w:rsidRPr="00DC5871">
        <w:rPr>
          <w:rFonts w:ascii="PT Astra Serif" w:hAnsi="PT Astra Serif"/>
          <w:bCs/>
          <w:sz w:val="28"/>
          <w:szCs w:val="28"/>
          <w:lang w:eastAsia="ru-RU"/>
        </w:rPr>
        <w:t>е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>т организацию работы в муниципальном образовании по снижению административных барьеров в сфере градостроительства и создани</w:t>
      </w:r>
      <w:r w:rsidR="00554DC9" w:rsidRPr="00DC5871">
        <w:rPr>
          <w:rFonts w:ascii="PT Astra Serif" w:hAnsi="PT Astra Serif"/>
          <w:bCs/>
          <w:sz w:val="28"/>
          <w:szCs w:val="28"/>
          <w:lang w:eastAsia="ru-RU"/>
        </w:rPr>
        <w:t>е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 условий для капитального и жилищного строительства и, как следствие, создани</w:t>
      </w:r>
      <w:r w:rsidR="00AB436F" w:rsidRPr="00DC5871">
        <w:rPr>
          <w:rFonts w:ascii="PT Astra Serif" w:hAnsi="PT Astra Serif"/>
          <w:bCs/>
          <w:sz w:val="28"/>
          <w:szCs w:val="28"/>
          <w:lang w:eastAsia="ru-RU"/>
        </w:rPr>
        <w:t>е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 на территории благоприятного предпринимательского климата.</w:t>
      </w:r>
    </w:p>
    <w:p w:rsidR="00815F84" w:rsidRPr="00DC5871" w:rsidRDefault="00815F84" w:rsidP="007A32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BE02B2">
        <w:rPr>
          <w:rFonts w:ascii="PT Astra Serif" w:hAnsi="PT Astra Serif"/>
          <w:bCs/>
          <w:sz w:val="28"/>
          <w:szCs w:val="28"/>
          <w:lang w:eastAsia="ru-RU"/>
        </w:rPr>
        <w:t xml:space="preserve">За 2019 год объем инвестиций в основной капитал по крупным и средним организациям составил 3498,17 млн. рублей и увеличился в 6,5 р. к </w:t>
      </w:r>
      <w:r w:rsidR="00BE02B2" w:rsidRPr="00BE02B2">
        <w:rPr>
          <w:rFonts w:ascii="PT Astra Serif" w:hAnsi="PT Astra Serif"/>
          <w:bCs/>
          <w:sz w:val="28"/>
          <w:szCs w:val="28"/>
          <w:lang w:eastAsia="ru-RU"/>
        </w:rPr>
        <w:t>прошлому году.</w:t>
      </w:r>
      <w:r w:rsidRPr="00BE02B2">
        <w:rPr>
          <w:rFonts w:ascii="PT Astra Serif" w:hAnsi="PT Astra Serif"/>
          <w:bCs/>
          <w:sz w:val="28"/>
          <w:szCs w:val="28"/>
          <w:lang w:eastAsia="ru-RU"/>
        </w:rPr>
        <w:t xml:space="preserve"> Инвестиции в основной капитал  по  полному кругу организаций и с учетом инвестиций субъектов малого предпринимательства за 2019 год составили 3694,27 млн. руб.</w:t>
      </w:r>
    </w:p>
    <w:p w:rsidR="00843260" w:rsidRPr="00DC5871" w:rsidRDefault="00F01741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Объем инвестиций в основной капитал (за исключением бюджетных средств) в расчете на 1 жителя зависит от общего объема инвестиций в основной капитал и от среднесписочного </w:t>
      </w:r>
      <w:r w:rsidR="00AB436F" w:rsidRPr="00DC5871">
        <w:rPr>
          <w:rFonts w:ascii="PT Astra Serif" w:hAnsi="PT Astra Serif"/>
          <w:sz w:val="28"/>
          <w:szCs w:val="28"/>
          <w:lang w:eastAsia="ru-RU"/>
        </w:rPr>
        <w:t>числа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жителей муниципального района. По </w:t>
      </w:r>
      <w:proofErr w:type="spellStart"/>
      <w:r w:rsidRPr="00DC5871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DC5871">
        <w:rPr>
          <w:rFonts w:ascii="PT Astra Serif" w:hAnsi="PT Astra Serif"/>
          <w:sz w:val="28"/>
          <w:szCs w:val="28"/>
          <w:lang w:eastAsia="ru-RU"/>
        </w:rPr>
        <w:t xml:space="preserve"> району в 201</w:t>
      </w:r>
      <w:r w:rsidR="009B3D8A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величина </w:t>
      </w:r>
      <w:r w:rsidR="004B4878" w:rsidRPr="00DC5871">
        <w:rPr>
          <w:rFonts w:ascii="PT Astra Serif" w:hAnsi="PT Astra Serif"/>
          <w:sz w:val="28"/>
          <w:szCs w:val="28"/>
          <w:lang w:eastAsia="ru-RU"/>
        </w:rPr>
        <w:t>данного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показателя </w:t>
      </w:r>
      <w:r w:rsidR="009B3D8A">
        <w:rPr>
          <w:rFonts w:ascii="PT Astra Serif" w:hAnsi="PT Astra Serif"/>
          <w:sz w:val="28"/>
          <w:szCs w:val="28"/>
          <w:lang w:eastAsia="ru-RU"/>
        </w:rPr>
        <w:t xml:space="preserve">значительно возросла и </w:t>
      </w:r>
      <w:r w:rsidRPr="00DC5871">
        <w:rPr>
          <w:rFonts w:ascii="PT Astra Serif" w:hAnsi="PT Astra Serif"/>
          <w:sz w:val="28"/>
          <w:szCs w:val="28"/>
          <w:lang w:eastAsia="ru-RU"/>
        </w:rPr>
        <w:t>состав</w:t>
      </w:r>
      <w:r w:rsidR="004E6AA0" w:rsidRPr="00DC5871">
        <w:rPr>
          <w:rFonts w:ascii="PT Astra Serif" w:hAnsi="PT Astra Serif"/>
          <w:sz w:val="28"/>
          <w:szCs w:val="28"/>
          <w:lang w:eastAsia="ru-RU"/>
        </w:rPr>
        <w:t>ила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B3D8A">
        <w:rPr>
          <w:rFonts w:ascii="PT Astra Serif" w:hAnsi="PT Astra Serif"/>
          <w:sz w:val="28"/>
          <w:szCs w:val="28"/>
          <w:lang w:eastAsia="ru-RU"/>
        </w:rPr>
        <w:t>54662,8</w:t>
      </w:r>
      <w:r w:rsidR="004E6AA0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руб.</w:t>
      </w:r>
      <w:r w:rsidR="009B3D8A">
        <w:rPr>
          <w:rFonts w:ascii="PT Astra Serif" w:hAnsi="PT Astra Serif"/>
          <w:sz w:val="28"/>
          <w:szCs w:val="28"/>
          <w:lang w:eastAsia="ru-RU"/>
        </w:rPr>
        <w:t>,</w:t>
      </w:r>
      <w:r w:rsidR="00CA678B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B3D8A">
        <w:rPr>
          <w:rFonts w:ascii="PT Astra Serif" w:hAnsi="PT Astra Serif"/>
          <w:sz w:val="28"/>
          <w:szCs w:val="28"/>
          <w:lang w:eastAsia="ru-RU"/>
        </w:rPr>
        <w:t>что обусловлено началом многоэтажного строительства, реализацией мероприятия «Чистая вода Тульской области», а так же привлечением инвестиций промышленных предприятий и реализацией инв</w:t>
      </w:r>
      <w:r w:rsidR="00EB38E0">
        <w:rPr>
          <w:rFonts w:ascii="PT Astra Serif" w:hAnsi="PT Astra Serif"/>
          <w:sz w:val="28"/>
          <w:szCs w:val="28"/>
          <w:lang w:eastAsia="ru-RU"/>
        </w:rPr>
        <w:t>естиционных проектов организациями</w:t>
      </w:r>
      <w:r w:rsidR="009B3D8A">
        <w:rPr>
          <w:rFonts w:ascii="PT Astra Serif" w:hAnsi="PT Astra Serif"/>
          <w:sz w:val="28"/>
          <w:szCs w:val="28"/>
          <w:lang w:eastAsia="ru-RU"/>
        </w:rPr>
        <w:t xml:space="preserve"> сельского  хозяйства.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К 20</w:t>
      </w:r>
      <w:r w:rsidR="0084180B" w:rsidRPr="00DC5871">
        <w:rPr>
          <w:rFonts w:ascii="PT Astra Serif" w:hAnsi="PT Astra Serif"/>
          <w:sz w:val="28"/>
          <w:szCs w:val="28"/>
          <w:lang w:eastAsia="ru-RU"/>
        </w:rPr>
        <w:t>2</w:t>
      </w:r>
      <w:r w:rsidR="009B3D8A">
        <w:rPr>
          <w:rFonts w:ascii="PT Astra Serif" w:hAnsi="PT Astra Serif"/>
          <w:sz w:val="28"/>
          <w:szCs w:val="28"/>
          <w:lang w:eastAsia="ru-RU"/>
        </w:rPr>
        <w:t>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9B3D8A">
        <w:rPr>
          <w:rFonts w:ascii="PT Astra Serif" w:hAnsi="PT Astra Serif"/>
          <w:sz w:val="28"/>
          <w:szCs w:val="28"/>
          <w:lang w:eastAsia="ru-RU"/>
        </w:rPr>
        <w:t xml:space="preserve">значение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показателя </w:t>
      </w:r>
      <w:r w:rsidR="009B3D8A">
        <w:rPr>
          <w:rFonts w:ascii="PT Astra Serif" w:hAnsi="PT Astra Serif"/>
          <w:sz w:val="28"/>
          <w:szCs w:val="28"/>
          <w:lang w:eastAsia="ru-RU"/>
        </w:rPr>
        <w:t xml:space="preserve">планируется в размере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B3D8A">
        <w:rPr>
          <w:rFonts w:ascii="PT Astra Serif" w:hAnsi="PT Astra Serif"/>
          <w:sz w:val="28"/>
          <w:szCs w:val="28"/>
          <w:lang w:eastAsia="ru-RU"/>
        </w:rPr>
        <w:t>5003,6</w:t>
      </w:r>
      <w:r w:rsidR="004E6AA0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рублей</w:t>
      </w:r>
      <w:r w:rsidR="00C16AB3" w:rsidRPr="00DC587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F56A2C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E3DCA" w:rsidRPr="00B314AD" w:rsidRDefault="003E3DCA" w:rsidP="009118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221284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23E4" w:rsidRPr="00DC5871" w:rsidRDefault="00B121CE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С этой целью проводится работа</w:t>
      </w:r>
      <w:r w:rsidR="00F01741" w:rsidRPr="00DC5871">
        <w:rPr>
          <w:rFonts w:ascii="PT Astra Serif" w:hAnsi="PT Astra Serif"/>
          <w:sz w:val="28"/>
          <w:szCs w:val="28"/>
          <w:lang w:eastAsia="ru-RU"/>
        </w:rPr>
        <w:t>, направленн</w:t>
      </w:r>
      <w:r w:rsidRPr="00DC5871">
        <w:rPr>
          <w:rFonts w:ascii="PT Astra Serif" w:hAnsi="PT Astra Serif"/>
          <w:sz w:val="28"/>
          <w:szCs w:val="28"/>
          <w:lang w:eastAsia="ru-RU"/>
        </w:rPr>
        <w:t>ая</w:t>
      </w:r>
      <w:r w:rsidR="00F01741" w:rsidRPr="00DC5871">
        <w:rPr>
          <w:rFonts w:ascii="PT Astra Serif" w:hAnsi="PT Astra Serif"/>
          <w:sz w:val="28"/>
          <w:szCs w:val="28"/>
          <w:lang w:eastAsia="ru-RU"/>
        </w:rPr>
        <w:t xml:space="preserve"> на создание условий для привлечения инвесторов, планирующих реализацию проектов, предусматривающих создание производственных объектов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01741" w:rsidRPr="00DC5871">
        <w:rPr>
          <w:rFonts w:ascii="PT Astra Serif" w:hAnsi="PT Astra Serif"/>
          <w:sz w:val="28"/>
          <w:szCs w:val="28"/>
          <w:lang w:eastAsia="ru-RU"/>
        </w:rPr>
        <w:t>организ</w:t>
      </w:r>
      <w:r w:rsidRPr="00DC5871">
        <w:rPr>
          <w:rFonts w:ascii="PT Astra Serif" w:hAnsi="PT Astra Serif"/>
          <w:sz w:val="28"/>
          <w:szCs w:val="28"/>
          <w:lang w:eastAsia="ru-RU"/>
        </w:rPr>
        <w:t>уется</w:t>
      </w:r>
      <w:r w:rsidR="00F01741" w:rsidRPr="00DC5871">
        <w:rPr>
          <w:rFonts w:ascii="PT Astra Serif" w:hAnsi="PT Astra Serif"/>
          <w:sz w:val="28"/>
          <w:szCs w:val="28"/>
          <w:lang w:eastAsia="ru-RU"/>
        </w:rPr>
        <w:t xml:space="preserve"> подбор площадок, отвечающих требованиям инвесторов</w:t>
      </w:r>
      <w:r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9A026B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01741" w:rsidRDefault="009A026B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2015 году в муниципальном образовании утверждена дорожная карта внедрения успешных практик по обеспечению благоприятного инвестиционного климата, утвержден Порядок сопровождения инвестиционных проектов по принципу «</w:t>
      </w:r>
      <w:r w:rsidR="00622001" w:rsidRPr="00DC5871">
        <w:rPr>
          <w:rFonts w:ascii="PT Astra Serif" w:hAnsi="PT Astra Serif"/>
          <w:sz w:val="28"/>
          <w:szCs w:val="28"/>
          <w:lang w:eastAsia="ru-RU"/>
        </w:rPr>
        <w:t>о</w:t>
      </w:r>
      <w:r w:rsidRPr="00DC5871">
        <w:rPr>
          <w:rFonts w:ascii="PT Astra Serif" w:hAnsi="PT Astra Serif"/>
          <w:sz w:val="28"/>
          <w:szCs w:val="28"/>
          <w:lang w:eastAsia="ru-RU"/>
        </w:rPr>
        <w:t>дного окна». На официальном сайте администрации имеется раздел «Инвестици</w:t>
      </w:r>
      <w:r w:rsidR="00622001" w:rsidRPr="00DC5871">
        <w:rPr>
          <w:rFonts w:ascii="PT Astra Serif" w:hAnsi="PT Astra Serif"/>
          <w:sz w:val="28"/>
          <w:szCs w:val="28"/>
          <w:lang w:eastAsia="ru-RU"/>
        </w:rPr>
        <w:t>и</w:t>
      </w:r>
      <w:r w:rsidRPr="00DC5871">
        <w:rPr>
          <w:rFonts w:ascii="PT Astra Serif" w:hAnsi="PT Astra Serif"/>
          <w:sz w:val="28"/>
          <w:szCs w:val="28"/>
          <w:lang w:eastAsia="ru-RU"/>
        </w:rPr>
        <w:t>», где размещаются свободные инвестиционные площадки, план создания объектов инфраструктуры и другая информация для потенциальных инвесторов.</w:t>
      </w:r>
    </w:p>
    <w:p w:rsidR="00645556" w:rsidRDefault="00645556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645556">
        <w:rPr>
          <w:rFonts w:ascii="PT Astra Serif" w:hAnsi="PT Astra Serif"/>
          <w:sz w:val="28"/>
          <w:szCs w:val="28"/>
          <w:lang w:eastAsia="ru-RU"/>
        </w:rPr>
        <w:t xml:space="preserve">08 августа 2019 года распоряжением правительства Российской Федерации город </w:t>
      </w:r>
      <w:proofErr w:type="spellStart"/>
      <w:r w:rsidRPr="00645556">
        <w:rPr>
          <w:rFonts w:ascii="PT Astra Serif" w:hAnsi="PT Astra Serif"/>
          <w:sz w:val="28"/>
          <w:szCs w:val="28"/>
          <w:lang w:eastAsia="ru-RU"/>
        </w:rPr>
        <w:t>Кимовск</w:t>
      </w:r>
      <w:proofErr w:type="spellEnd"/>
      <w:r w:rsidRPr="00645556">
        <w:rPr>
          <w:rFonts w:ascii="PT Astra Serif" w:hAnsi="PT Astra Serif"/>
          <w:sz w:val="28"/>
          <w:szCs w:val="28"/>
          <w:lang w:eastAsia="ru-RU"/>
        </w:rPr>
        <w:t xml:space="preserve"> получил статус </w:t>
      </w:r>
      <w:proofErr w:type="spellStart"/>
      <w:r w:rsidRPr="00645556"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 w:rsidRPr="00645556">
        <w:rPr>
          <w:rFonts w:ascii="PT Astra Serif" w:hAnsi="PT Astra Serif"/>
          <w:sz w:val="28"/>
          <w:szCs w:val="28"/>
          <w:lang w:eastAsia="ru-RU"/>
        </w:rPr>
        <w:t xml:space="preserve"> муниципальн</w:t>
      </w:r>
      <w:r>
        <w:rPr>
          <w:rFonts w:ascii="PT Astra Serif" w:hAnsi="PT Astra Serif"/>
          <w:sz w:val="28"/>
          <w:szCs w:val="28"/>
          <w:lang w:eastAsia="ru-RU"/>
        </w:rPr>
        <w:t xml:space="preserve">ого образования РФ (моногород). </w:t>
      </w:r>
      <w:r w:rsidRPr="00645556">
        <w:rPr>
          <w:rFonts w:ascii="PT Astra Serif" w:hAnsi="PT Astra Serif"/>
          <w:sz w:val="28"/>
          <w:szCs w:val="28"/>
          <w:lang w:eastAsia="ru-RU"/>
        </w:rPr>
        <w:t>Соответствующее распоряжение подписал премьер-министр Российской Федерации. Теперь общее число моногородов в России составляет 321.</w:t>
      </w:r>
    </w:p>
    <w:p w:rsidR="00645556" w:rsidRPr="00DC5871" w:rsidRDefault="00645556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Для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Кимовск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как</w:t>
      </w:r>
      <w:r w:rsidRPr="0064555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образования, стали </w:t>
      </w:r>
      <w:r w:rsidRPr="00645556">
        <w:rPr>
          <w:rFonts w:ascii="PT Astra Serif" w:hAnsi="PT Astra Serif"/>
          <w:sz w:val="28"/>
          <w:szCs w:val="28"/>
          <w:lang w:eastAsia="ru-RU"/>
        </w:rPr>
        <w:t>доступны налоговые льготы для бизнеса, меры поддержки Фонда развития моногородов и других институтов развития, а также федеральных ведомств.</w:t>
      </w:r>
    </w:p>
    <w:p w:rsidR="00156EA8" w:rsidRPr="00DC5871" w:rsidRDefault="00156EA8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В муниципальном образовании ежегодно увеличивается доля </w:t>
      </w:r>
      <w:r w:rsidR="00DC7E32" w:rsidRPr="00DC5871">
        <w:rPr>
          <w:rFonts w:ascii="PT Astra Serif" w:hAnsi="PT Astra Serif"/>
          <w:sz w:val="28"/>
          <w:szCs w:val="28"/>
          <w:lang w:eastAsia="ru-RU"/>
        </w:rPr>
        <w:t>площади земельных участков, являющихся объектами налогообложения земельным налогом в общей площади территории муниципального района</w:t>
      </w:r>
      <w:r w:rsidR="00901264" w:rsidRPr="00DC5871">
        <w:rPr>
          <w:rFonts w:ascii="PT Astra Serif" w:hAnsi="PT Astra Serif"/>
          <w:sz w:val="28"/>
          <w:szCs w:val="28"/>
          <w:lang w:eastAsia="ru-RU"/>
        </w:rPr>
        <w:t xml:space="preserve"> (в 201</w:t>
      </w:r>
      <w:r w:rsidR="009D1D77">
        <w:rPr>
          <w:rFonts w:ascii="PT Astra Serif" w:hAnsi="PT Astra Serif"/>
          <w:sz w:val="28"/>
          <w:szCs w:val="28"/>
          <w:lang w:eastAsia="ru-RU"/>
        </w:rPr>
        <w:t>9</w:t>
      </w:r>
      <w:r w:rsidR="00901264" w:rsidRPr="00DC5871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9D1D77">
        <w:rPr>
          <w:rFonts w:ascii="PT Astra Serif" w:hAnsi="PT Astra Serif"/>
          <w:sz w:val="28"/>
          <w:szCs w:val="28"/>
          <w:lang w:eastAsia="ru-RU"/>
        </w:rPr>
        <w:t>94</w:t>
      </w:r>
      <w:r w:rsidR="00901264" w:rsidRPr="00DC5871">
        <w:rPr>
          <w:rFonts w:ascii="PT Astra Serif" w:hAnsi="PT Astra Serif"/>
          <w:sz w:val="28"/>
          <w:szCs w:val="28"/>
          <w:lang w:eastAsia="ru-RU"/>
        </w:rPr>
        <w:t xml:space="preserve"> %)</w:t>
      </w:r>
      <w:r w:rsidR="00DC7E32" w:rsidRPr="00DC5871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AB436F" w:rsidRPr="00DC5871">
        <w:rPr>
          <w:rFonts w:ascii="PT Astra Serif" w:hAnsi="PT Astra Serif"/>
          <w:sz w:val="28"/>
          <w:szCs w:val="28"/>
          <w:lang w:eastAsia="ru-RU"/>
        </w:rPr>
        <w:t xml:space="preserve">и, как следствие, к </w:t>
      </w:r>
      <w:r w:rsidR="009B04E8" w:rsidRPr="00DC5871">
        <w:rPr>
          <w:rFonts w:ascii="PT Astra Serif" w:hAnsi="PT Astra Serif"/>
          <w:sz w:val="28"/>
          <w:szCs w:val="28"/>
          <w:lang w:eastAsia="ru-RU"/>
        </w:rPr>
        <w:t>увеличению</w:t>
      </w:r>
      <w:r w:rsidR="00DC7E32" w:rsidRPr="00DC5871">
        <w:rPr>
          <w:rFonts w:ascii="PT Astra Serif" w:hAnsi="PT Astra Serif"/>
          <w:sz w:val="28"/>
          <w:szCs w:val="28"/>
          <w:lang w:eastAsia="ru-RU"/>
        </w:rPr>
        <w:t xml:space="preserve"> налоговых поступлений. </w:t>
      </w:r>
    </w:p>
    <w:p w:rsidR="001B45D3" w:rsidRPr="009E0ECE" w:rsidRDefault="001B45D3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5D3" w:rsidRPr="009E0ECE" w:rsidRDefault="001B45D3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C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45D3" w:rsidRPr="00B314AD" w:rsidRDefault="001B45D3" w:rsidP="0091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1361C" w:rsidRPr="00DC5871" w:rsidRDefault="00C1361C" w:rsidP="002B5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Сельское хозяйство</w:t>
      </w:r>
    </w:p>
    <w:p w:rsidR="002B5D44" w:rsidRPr="00DC5871" w:rsidRDefault="002B5D44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Производством сельскохозяйственной продукции в районе заняты 1</w:t>
      </w:r>
      <w:r w:rsidR="00282AEA">
        <w:rPr>
          <w:rFonts w:ascii="PT Astra Serif" w:hAnsi="PT Astra Serif"/>
          <w:sz w:val="28"/>
          <w:szCs w:val="28"/>
        </w:rPr>
        <w:t>1</w:t>
      </w:r>
      <w:r w:rsidRPr="00DC5871">
        <w:rPr>
          <w:rFonts w:ascii="PT Astra Serif" w:hAnsi="PT Astra Serif"/>
          <w:sz w:val="28"/>
          <w:szCs w:val="28"/>
        </w:rPr>
        <w:t xml:space="preserve"> сельскохозяйственных организаций, </w:t>
      </w:r>
      <w:r w:rsidR="00E325AD">
        <w:rPr>
          <w:rFonts w:ascii="PT Astra Serif" w:hAnsi="PT Astra Serif"/>
          <w:sz w:val="28"/>
          <w:szCs w:val="28"/>
        </w:rPr>
        <w:t>(3 СПК,7 ООО, 1 ЗАО), 38 КФХ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Pr="00E325AD">
        <w:rPr>
          <w:rFonts w:ascii="PT Astra Serif" w:hAnsi="PT Astra Serif"/>
          <w:sz w:val="28"/>
          <w:szCs w:val="28"/>
        </w:rPr>
        <w:t xml:space="preserve">и </w:t>
      </w:r>
      <w:r w:rsidR="00E325AD" w:rsidRPr="00E325AD">
        <w:rPr>
          <w:rFonts w:ascii="PT Astra Serif" w:hAnsi="PT Astra Serif"/>
          <w:sz w:val="28"/>
          <w:szCs w:val="28"/>
        </w:rPr>
        <w:t>6252</w:t>
      </w:r>
      <w:r w:rsidRPr="00E325AD">
        <w:rPr>
          <w:rFonts w:ascii="PT Astra Serif" w:hAnsi="PT Astra Serif"/>
          <w:sz w:val="28"/>
          <w:szCs w:val="28"/>
        </w:rPr>
        <w:t xml:space="preserve"> ЛПХ. </w:t>
      </w:r>
      <w:r w:rsidR="00C66AE3" w:rsidRPr="00E36A95">
        <w:rPr>
          <w:rFonts w:ascii="PT Astra Serif" w:hAnsi="PT Astra Serif"/>
          <w:sz w:val="28"/>
          <w:szCs w:val="28"/>
        </w:rPr>
        <w:t xml:space="preserve">В общем объеме  производства сельскохозяйственной продукции </w:t>
      </w:r>
      <w:r w:rsidR="00E36A95" w:rsidRPr="00E36A95">
        <w:rPr>
          <w:rFonts w:ascii="PT Astra Serif" w:hAnsi="PT Astra Serif"/>
          <w:sz w:val="28"/>
          <w:szCs w:val="28"/>
        </w:rPr>
        <w:t>92,0</w:t>
      </w:r>
      <w:r w:rsidR="00C66AE3" w:rsidRPr="00E36A95">
        <w:rPr>
          <w:rFonts w:ascii="PT Astra Serif" w:hAnsi="PT Astra Serif"/>
          <w:sz w:val="28"/>
          <w:szCs w:val="28"/>
        </w:rPr>
        <w:t xml:space="preserve"> % приходится на продукцию растениеводства и </w:t>
      </w:r>
      <w:r w:rsidR="007613B9">
        <w:rPr>
          <w:rFonts w:ascii="PT Astra Serif" w:hAnsi="PT Astra Serif"/>
          <w:sz w:val="28"/>
          <w:szCs w:val="28"/>
        </w:rPr>
        <w:t>8</w:t>
      </w:r>
      <w:r w:rsidR="00E36A95" w:rsidRPr="00E36A95">
        <w:rPr>
          <w:rFonts w:ascii="PT Astra Serif" w:hAnsi="PT Astra Serif"/>
          <w:sz w:val="28"/>
          <w:szCs w:val="28"/>
        </w:rPr>
        <w:t>,0</w:t>
      </w:r>
      <w:r w:rsidR="00C66AE3" w:rsidRPr="00E36A95">
        <w:rPr>
          <w:rFonts w:ascii="PT Astra Serif" w:hAnsi="PT Astra Serif"/>
          <w:sz w:val="28"/>
          <w:szCs w:val="28"/>
        </w:rPr>
        <w:t xml:space="preserve"> % на продукцию  животноводства.</w:t>
      </w:r>
    </w:p>
    <w:p w:rsidR="00A50DBE" w:rsidRPr="00DC5871" w:rsidRDefault="00A50DBE" w:rsidP="007A32D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Сельско</w:t>
      </w:r>
      <w:r w:rsidR="00C073A9">
        <w:rPr>
          <w:rFonts w:ascii="PT Astra Serif" w:hAnsi="PT Astra Serif"/>
          <w:sz w:val="28"/>
          <w:szCs w:val="28"/>
        </w:rPr>
        <w:t>хозяйственные организации в 2019</w:t>
      </w:r>
      <w:r w:rsidRPr="00DC5871">
        <w:rPr>
          <w:rFonts w:ascii="PT Astra Serif" w:hAnsi="PT Astra Serif"/>
          <w:sz w:val="28"/>
          <w:szCs w:val="28"/>
        </w:rPr>
        <w:t xml:space="preserve"> году реализовали сельскохозяйственной продукции на сумму </w:t>
      </w:r>
      <w:r w:rsidR="00C073A9" w:rsidRPr="00C073A9">
        <w:rPr>
          <w:rFonts w:ascii="PT Astra Serif" w:hAnsi="PT Astra Serif"/>
          <w:sz w:val="28"/>
          <w:szCs w:val="28"/>
        </w:rPr>
        <w:t xml:space="preserve">1128,6 млн. рублей, что на  37,2 млн. рублей больше  уровня прошлого года. </w:t>
      </w:r>
    </w:p>
    <w:p w:rsidR="0037087D" w:rsidRPr="00DC5871" w:rsidRDefault="00C66AE3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Среднемесячная за</w:t>
      </w:r>
      <w:r w:rsidR="0037087D" w:rsidRPr="00DC5871">
        <w:rPr>
          <w:rFonts w:ascii="PT Astra Serif" w:hAnsi="PT Astra Serif"/>
          <w:sz w:val="28"/>
          <w:szCs w:val="28"/>
        </w:rPr>
        <w:t xml:space="preserve">рплата на одного работающего по </w:t>
      </w:r>
      <w:r w:rsidRPr="00DC5871">
        <w:rPr>
          <w:rFonts w:ascii="PT Astra Serif" w:hAnsi="PT Astra Serif"/>
          <w:sz w:val="28"/>
          <w:szCs w:val="28"/>
        </w:rPr>
        <w:t xml:space="preserve">сельскохозяйственным организациям  составила  </w:t>
      </w:r>
      <w:r w:rsidR="0033197B">
        <w:rPr>
          <w:rFonts w:ascii="PT Astra Serif" w:hAnsi="PT Astra Serif"/>
          <w:sz w:val="28"/>
          <w:szCs w:val="28"/>
        </w:rPr>
        <w:t>34444</w:t>
      </w:r>
      <w:r w:rsidR="0037087D" w:rsidRPr="00DC5871">
        <w:rPr>
          <w:rFonts w:ascii="PT Astra Serif" w:hAnsi="PT Astra Serif"/>
          <w:sz w:val="28"/>
          <w:szCs w:val="28"/>
        </w:rPr>
        <w:t xml:space="preserve">  рублей (</w:t>
      </w:r>
      <w:r w:rsidRPr="00DC5871">
        <w:rPr>
          <w:rFonts w:ascii="PT Astra Serif" w:hAnsi="PT Astra Serif"/>
          <w:sz w:val="28"/>
          <w:szCs w:val="28"/>
        </w:rPr>
        <w:t xml:space="preserve">темп роста </w:t>
      </w:r>
      <w:r w:rsidR="0033197B">
        <w:rPr>
          <w:rFonts w:ascii="PT Astra Serif" w:hAnsi="PT Astra Serif"/>
          <w:sz w:val="28"/>
          <w:szCs w:val="28"/>
        </w:rPr>
        <w:t>115,1</w:t>
      </w:r>
      <w:r w:rsidRPr="00DC5871">
        <w:rPr>
          <w:rFonts w:ascii="PT Astra Serif" w:hAnsi="PT Astra Serif"/>
          <w:sz w:val="28"/>
          <w:szCs w:val="28"/>
        </w:rPr>
        <w:t>% к прошлому году).</w:t>
      </w:r>
    </w:p>
    <w:p w:rsidR="0033197B" w:rsidRPr="0033197B" w:rsidRDefault="0033197B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3197B">
        <w:rPr>
          <w:rFonts w:ascii="PT Astra Serif" w:hAnsi="PT Astra Serif"/>
          <w:sz w:val="28"/>
          <w:szCs w:val="28"/>
        </w:rPr>
        <w:t xml:space="preserve">На реализацию  программ и мероприятий  в сельском хозяйстве за 2019  год  оказана государственная поддержка </w:t>
      </w:r>
      <w:r>
        <w:rPr>
          <w:rFonts w:ascii="PT Astra Serif" w:hAnsi="PT Astra Serif"/>
          <w:sz w:val="28"/>
          <w:szCs w:val="28"/>
        </w:rPr>
        <w:t>в виде субсидий в сумме 62</w:t>
      </w:r>
      <w:r w:rsidRPr="0033197B">
        <w:rPr>
          <w:rFonts w:ascii="PT Astra Serif" w:hAnsi="PT Astra Serif"/>
          <w:sz w:val="28"/>
          <w:szCs w:val="28"/>
        </w:rPr>
        <w:t xml:space="preserve">755 тысяч рублей. </w:t>
      </w:r>
    </w:p>
    <w:p w:rsidR="0033197B" w:rsidRPr="0033197B" w:rsidRDefault="0033197B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3197B">
        <w:rPr>
          <w:rFonts w:ascii="PT Astra Serif" w:hAnsi="PT Astra Serif"/>
          <w:sz w:val="28"/>
          <w:szCs w:val="28"/>
        </w:rPr>
        <w:t>Кроме того, две  молодые семьи и одна семья (категория граждане)   получили социальную выплату на  приобретение  и  строительство жилья в сельской местности  из средств: федерального, областного и мест</w:t>
      </w:r>
      <w:r>
        <w:rPr>
          <w:rFonts w:ascii="PT Astra Serif" w:hAnsi="PT Astra Serif"/>
          <w:sz w:val="28"/>
          <w:szCs w:val="28"/>
        </w:rPr>
        <w:t>ного бюджетов  на общую сумму</w:t>
      </w:r>
      <w:r w:rsidRPr="0033197B">
        <w:rPr>
          <w:rFonts w:ascii="PT Astra Serif" w:hAnsi="PT Astra Serif"/>
          <w:sz w:val="28"/>
          <w:szCs w:val="28"/>
        </w:rPr>
        <w:t xml:space="preserve"> 3630  тысяч рублей.</w:t>
      </w:r>
    </w:p>
    <w:p w:rsidR="0033197B" w:rsidRPr="0033197B" w:rsidRDefault="0033197B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3197B">
        <w:rPr>
          <w:rFonts w:ascii="PT Astra Serif" w:hAnsi="PT Astra Serif"/>
          <w:sz w:val="28"/>
          <w:szCs w:val="28"/>
        </w:rPr>
        <w:t xml:space="preserve">Один начинающий фермер получил грант на создание и развитие КФХ  в </w:t>
      </w:r>
      <w:r w:rsidR="00BE2811">
        <w:rPr>
          <w:rFonts w:ascii="PT Astra Serif" w:hAnsi="PT Astra Serif"/>
          <w:sz w:val="28"/>
          <w:szCs w:val="28"/>
        </w:rPr>
        <w:t xml:space="preserve">размере 3 </w:t>
      </w:r>
      <w:proofErr w:type="spellStart"/>
      <w:r w:rsidR="00BE2811">
        <w:rPr>
          <w:rFonts w:ascii="PT Astra Serif" w:hAnsi="PT Astra Serif"/>
          <w:sz w:val="28"/>
          <w:szCs w:val="28"/>
        </w:rPr>
        <w:t>млн</w:t>
      </w:r>
      <w:proofErr w:type="gramStart"/>
      <w:r w:rsidR="00BE2811">
        <w:rPr>
          <w:rFonts w:ascii="PT Astra Serif" w:hAnsi="PT Astra Serif"/>
          <w:sz w:val="28"/>
          <w:szCs w:val="28"/>
        </w:rPr>
        <w:t>.</w:t>
      </w:r>
      <w:r w:rsidRPr="0033197B">
        <w:rPr>
          <w:rFonts w:ascii="PT Astra Serif" w:hAnsi="PT Astra Serif"/>
          <w:sz w:val="28"/>
          <w:szCs w:val="28"/>
        </w:rPr>
        <w:t>р</w:t>
      </w:r>
      <w:proofErr w:type="gramEnd"/>
      <w:r w:rsidRPr="0033197B">
        <w:rPr>
          <w:rFonts w:ascii="PT Astra Serif" w:hAnsi="PT Astra Serif"/>
          <w:sz w:val="28"/>
          <w:szCs w:val="28"/>
        </w:rPr>
        <w:t>ублей</w:t>
      </w:r>
      <w:proofErr w:type="spellEnd"/>
      <w:r w:rsidRPr="0033197B">
        <w:rPr>
          <w:rFonts w:ascii="PT Astra Serif" w:hAnsi="PT Astra Serif"/>
          <w:sz w:val="28"/>
          <w:szCs w:val="28"/>
        </w:rPr>
        <w:t xml:space="preserve"> (направление деятельности</w:t>
      </w:r>
      <w:r w:rsidR="00BE2811">
        <w:rPr>
          <w:rFonts w:ascii="PT Astra Serif" w:hAnsi="PT Astra Serif"/>
          <w:sz w:val="28"/>
          <w:szCs w:val="28"/>
        </w:rPr>
        <w:t xml:space="preserve"> - </w:t>
      </w:r>
      <w:r w:rsidRPr="0033197B">
        <w:rPr>
          <w:rFonts w:ascii="PT Astra Serif" w:hAnsi="PT Astra Serif"/>
          <w:sz w:val="28"/>
          <w:szCs w:val="28"/>
        </w:rPr>
        <w:t>мясное скотоводство).</w:t>
      </w:r>
    </w:p>
    <w:p w:rsidR="0033197B" w:rsidRPr="0033197B" w:rsidRDefault="0033197B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3197B">
        <w:rPr>
          <w:rFonts w:ascii="PT Astra Serif" w:hAnsi="PT Astra Serif"/>
          <w:sz w:val="28"/>
          <w:szCs w:val="28"/>
        </w:rPr>
        <w:t xml:space="preserve">На развитие семейной животноводческой фермы получен грант в </w:t>
      </w:r>
      <w:r w:rsidR="00BE2811">
        <w:rPr>
          <w:rFonts w:ascii="PT Astra Serif" w:hAnsi="PT Astra Serif"/>
          <w:sz w:val="28"/>
          <w:szCs w:val="28"/>
        </w:rPr>
        <w:t>размере 7,2 млн.</w:t>
      </w:r>
      <w:r w:rsidRPr="0033197B">
        <w:rPr>
          <w:rFonts w:ascii="PT Astra Serif" w:hAnsi="PT Astra Serif"/>
          <w:sz w:val="28"/>
          <w:szCs w:val="28"/>
        </w:rPr>
        <w:t xml:space="preserve"> рублей (направление деятельности </w:t>
      </w:r>
      <w:r w:rsidR="00BE2811">
        <w:rPr>
          <w:rFonts w:ascii="PT Astra Serif" w:hAnsi="PT Astra Serif"/>
          <w:sz w:val="28"/>
          <w:szCs w:val="28"/>
        </w:rPr>
        <w:t xml:space="preserve">- </w:t>
      </w:r>
      <w:r w:rsidRPr="0033197B">
        <w:rPr>
          <w:rFonts w:ascii="PT Astra Serif" w:hAnsi="PT Astra Serif"/>
          <w:sz w:val="28"/>
          <w:szCs w:val="28"/>
        </w:rPr>
        <w:t>молочное животноводство).</w:t>
      </w:r>
    </w:p>
    <w:p w:rsidR="0033197B" w:rsidRDefault="0033197B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3197B">
        <w:rPr>
          <w:rFonts w:ascii="PT Astra Serif" w:hAnsi="PT Astra Serif"/>
          <w:sz w:val="28"/>
          <w:szCs w:val="28"/>
        </w:rPr>
        <w:t>Сельскохозяйственный кооператив «</w:t>
      </w:r>
      <w:proofErr w:type="spellStart"/>
      <w:r w:rsidRPr="0033197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3197B">
        <w:rPr>
          <w:rFonts w:ascii="PT Astra Serif" w:hAnsi="PT Astra Serif"/>
          <w:sz w:val="28"/>
          <w:szCs w:val="28"/>
        </w:rPr>
        <w:t xml:space="preserve"> фермер» получил грант на развитие материальной базы  в сумме 2,1 млн. рублей.</w:t>
      </w:r>
    </w:p>
    <w:p w:rsidR="00F01741" w:rsidRPr="00DC5871" w:rsidRDefault="00293A78" w:rsidP="0033197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Удельный вес прибыльных сельскохозяйственных организаций в целом по району в 201</w:t>
      </w:r>
      <w:r w:rsidR="00393D1F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со</w:t>
      </w:r>
      <w:r w:rsidR="009576D4" w:rsidRPr="00DC5871">
        <w:rPr>
          <w:rFonts w:ascii="PT Astra Serif" w:hAnsi="PT Astra Serif"/>
          <w:color w:val="000000"/>
          <w:sz w:val="28"/>
          <w:szCs w:val="28"/>
          <w:lang w:eastAsia="ru-RU"/>
        </w:rPr>
        <w:t>ставил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93D1F">
        <w:rPr>
          <w:rFonts w:ascii="PT Astra Serif" w:hAnsi="PT Astra Serif"/>
          <w:color w:val="000000"/>
          <w:sz w:val="28"/>
          <w:szCs w:val="28"/>
          <w:lang w:eastAsia="ru-RU"/>
        </w:rPr>
        <w:t>10</w:t>
      </w:r>
      <w:r w:rsidR="00602464" w:rsidRPr="00DC5871">
        <w:rPr>
          <w:rFonts w:ascii="PT Astra Serif" w:hAnsi="PT Astra Serif"/>
          <w:color w:val="000000"/>
          <w:sz w:val="28"/>
          <w:szCs w:val="28"/>
          <w:lang w:eastAsia="ru-RU"/>
        </w:rPr>
        <w:t>0,0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процент</w:t>
      </w:r>
      <w:r w:rsidR="00156811" w:rsidRPr="00DC5871">
        <w:rPr>
          <w:rFonts w:ascii="PT Astra Serif" w:hAnsi="PT Astra Serif"/>
          <w:color w:val="000000"/>
          <w:sz w:val="28"/>
          <w:szCs w:val="28"/>
          <w:lang w:eastAsia="ru-RU"/>
        </w:rPr>
        <w:t>ов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>, к 20</w:t>
      </w:r>
      <w:r w:rsidR="00393D1F">
        <w:rPr>
          <w:rFonts w:ascii="PT Astra Serif" w:hAnsi="PT Astra Serif"/>
          <w:color w:val="000000"/>
          <w:sz w:val="28"/>
          <w:szCs w:val="28"/>
          <w:lang w:eastAsia="ru-RU"/>
        </w:rPr>
        <w:t>22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</w:t>
      </w:r>
      <w:r w:rsidR="008D0579"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планируется </w:t>
      </w:r>
      <w:r w:rsidR="00393D1F">
        <w:rPr>
          <w:rFonts w:ascii="PT Astra Serif" w:hAnsi="PT Astra Serif"/>
          <w:color w:val="000000"/>
          <w:sz w:val="28"/>
          <w:szCs w:val="28"/>
          <w:lang w:eastAsia="ru-RU"/>
        </w:rPr>
        <w:t>сохранение данного показателя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93D1F">
        <w:rPr>
          <w:rFonts w:ascii="PT Astra Serif" w:hAnsi="PT Astra Serif"/>
          <w:color w:val="000000"/>
          <w:sz w:val="28"/>
          <w:szCs w:val="28"/>
          <w:lang w:eastAsia="ru-RU"/>
        </w:rPr>
        <w:t>на том же уровне</w:t>
      </w: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757872" w:rsidRPr="00001BE5" w:rsidRDefault="00757872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E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07EC" w:rsidRPr="00DC5871" w:rsidRDefault="00D307EC" w:rsidP="007A32D0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color w:val="000000"/>
          <w:sz w:val="28"/>
          <w:szCs w:val="28"/>
          <w:u w:val="single"/>
          <w:lang w:eastAsia="ru-RU"/>
        </w:rPr>
        <w:t>Дорожное хозяйство и транспорт.</w:t>
      </w:r>
    </w:p>
    <w:p w:rsidR="00AD73E5" w:rsidRPr="00DC5871" w:rsidRDefault="00AD73E5" w:rsidP="007A32D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Наличие благоустроенной сети дорог в настоящее время является важнейшим условием обеспечения экономического развития</w:t>
      </w:r>
      <w:r w:rsidR="00D032A5" w:rsidRPr="00DC5871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DC5871">
        <w:rPr>
          <w:rFonts w:ascii="PT Astra Serif" w:hAnsi="PT Astra Serif"/>
          <w:sz w:val="28"/>
          <w:szCs w:val="28"/>
          <w:lang w:eastAsia="ru-RU"/>
        </w:rPr>
        <w:t>. Плохое состояние, а порой даже отсутствие дорог является одним из важнейших барьеров для экономического р</w:t>
      </w:r>
      <w:r w:rsidR="007641DB" w:rsidRPr="00DC5871">
        <w:rPr>
          <w:rFonts w:ascii="PT Astra Serif" w:hAnsi="PT Astra Serif"/>
          <w:sz w:val="28"/>
          <w:szCs w:val="28"/>
          <w:lang w:eastAsia="ru-RU"/>
        </w:rPr>
        <w:t>оста</w:t>
      </w:r>
      <w:r w:rsidR="00890D7C" w:rsidRPr="00DC587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DC5871">
        <w:rPr>
          <w:rFonts w:ascii="PT Astra Serif" w:hAnsi="PT Astra Serif"/>
          <w:sz w:val="28"/>
          <w:szCs w:val="28"/>
          <w:lang w:eastAsia="ru-RU"/>
        </w:rPr>
        <w:t>.</w:t>
      </w:r>
    </w:p>
    <w:p w:rsidR="00955376" w:rsidRPr="00DC5871" w:rsidRDefault="00955376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связи с ростом интенсивности движения автотранспортных средств по автомобильным дорогам общего пользования, увеличением процента большегрузных автомобилей, в ряде случаев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955376" w:rsidRPr="00DC5871" w:rsidRDefault="00955376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DC5871">
        <w:rPr>
          <w:rFonts w:ascii="PT Astra Serif" w:hAnsi="PT Astra Serif"/>
          <w:sz w:val="28"/>
          <w:szCs w:val="28"/>
          <w:lang w:eastAsia="ru-RU"/>
        </w:rPr>
        <w:t>В 201</w:t>
      </w:r>
      <w:r w:rsidR="006F24FD">
        <w:rPr>
          <w:rFonts w:ascii="PT Astra Serif" w:hAnsi="PT Astra Serif"/>
          <w:sz w:val="28"/>
          <w:szCs w:val="28"/>
          <w:lang w:eastAsia="ru-RU"/>
        </w:rPr>
        <w:t>9</w:t>
      </w:r>
      <w:r w:rsidR="007A32D0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году с целью совершенствования и сохранности сети автодорог общего пользования, повышения безопасности дорожного движения реализовывалась муниципальная программа 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9024E7" w:rsidRPr="00DC5871">
        <w:rPr>
          <w:rFonts w:ascii="PT Astra Serif" w:hAnsi="PT Astra Serif"/>
          <w:sz w:val="28"/>
          <w:szCs w:val="28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</w:t>
      </w:r>
      <w:r w:rsidR="006F24FD">
        <w:rPr>
          <w:rFonts w:ascii="PT Astra Serif" w:hAnsi="PT Astra Serif"/>
          <w:sz w:val="28"/>
          <w:szCs w:val="28"/>
        </w:rPr>
        <w:t xml:space="preserve">я </w:t>
      </w:r>
      <w:proofErr w:type="spellStart"/>
      <w:r w:rsidR="006F24F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F24FD">
        <w:rPr>
          <w:rFonts w:ascii="PT Astra Serif" w:hAnsi="PT Astra Serif"/>
          <w:sz w:val="28"/>
          <w:szCs w:val="28"/>
        </w:rPr>
        <w:t xml:space="preserve"> район на 2016 – 2020</w:t>
      </w:r>
      <w:r w:rsidR="009024E7" w:rsidRPr="00DC5871">
        <w:rPr>
          <w:rFonts w:ascii="PT Astra Serif" w:hAnsi="PT Astra Serif"/>
          <w:sz w:val="28"/>
          <w:szCs w:val="28"/>
        </w:rPr>
        <w:t xml:space="preserve"> годы»</w:t>
      </w:r>
      <w:r w:rsidRPr="00DC5871">
        <w:rPr>
          <w:rFonts w:ascii="PT Astra Serif" w:hAnsi="PT Astra Serif"/>
          <w:sz w:val="28"/>
          <w:szCs w:val="28"/>
        </w:rPr>
        <w:t xml:space="preserve">, утвержденная постановлением </w:t>
      </w:r>
      <w:r w:rsidR="007474B3" w:rsidRPr="00DC587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7474B3"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7474B3" w:rsidRPr="00DC5871">
        <w:rPr>
          <w:rFonts w:ascii="PT Astra Serif" w:hAnsi="PT Astra Serif"/>
          <w:sz w:val="28"/>
          <w:szCs w:val="28"/>
        </w:rPr>
        <w:t xml:space="preserve"> район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9024E7" w:rsidRPr="00DC5871">
        <w:rPr>
          <w:rFonts w:ascii="PT Astra Serif" w:hAnsi="PT Astra Serif"/>
          <w:sz w:val="28"/>
          <w:szCs w:val="28"/>
        </w:rPr>
        <w:t>от 30.12.2016 №</w:t>
      </w:r>
      <w:r w:rsidR="00EF309B" w:rsidRPr="00DC5871">
        <w:rPr>
          <w:rFonts w:ascii="PT Astra Serif" w:hAnsi="PT Astra Serif"/>
          <w:sz w:val="28"/>
          <w:szCs w:val="28"/>
        </w:rPr>
        <w:t xml:space="preserve"> </w:t>
      </w:r>
      <w:r w:rsidR="009024E7" w:rsidRPr="00DC5871">
        <w:rPr>
          <w:rFonts w:ascii="PT Astra Serif" w:hAnsi="PT Astra Serif"/>
          <w:sz w:val="28"/>
          <w:szCs w:val="28"/>
        </w:rPr>
        <w:t>2089.</w:t>
      </w:r>
      <w:proofErr w:type="gramEnd"/>
    </w:p>
    <w:p w:rsidR="005B0C1E" w:rsidRPr="00DC5871" w:rsidRDefault="005B0C1E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Реализация указанной программы позволяет обеспечить сохранность и развитие автомобильных дорог.</w:t>
      </w:r>
    </w:p>
    <w:p w:rsidR="00E92153" w:rsidRDefault="00E92153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Pr="00DC587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C5871">
        <w:rPr>
          <w:rFonts w:ascii="PT Astra Serif" w:hAnsi="PT Astra Serif"/>
          <w:sz w:val="28"/>
          <w:szCs w:val="28"/>
        </w:rPr>
        <w:t xml:space="preserve"> район в 201</w:t>
      </w:r>
      <w:r w:rsidR="001F22AA">
        <w:rPr>
          <w:rFonts w:ascii="PT Astra Serif" w:hAnsi="PT Astra Serif"/>
          <w:sz w:val="28"/>
          <w:szCs w:val="28"/>
        </w:rPr>
        <w:t>9</w:t>
      </w:r>
      <w:r w:rsidRPr="00DC5871">
        <w:rPr>
          <w:rFonts w:ascii="PT Astra Serif" w:hAnsi="PT Astra Serif"/>
          <w:sz w:val="28"/>
          <w:szCs w:val="28"/>
        </w:rPr>
        <w:t xml:space="preserve"> год</w:t>
      </w:r>
      <w:r w:rsidR="009300D6" w:rsidRPr="00DC5871">
        <w:rPr>
          <w:rFonts w:ascii="PT Astra Serif" w:hAnsi="PT Astra Serif"/>
          <w:sz w:val="28"/>
          <w:szCs w:val="28"/>
        </w:rPr>
        <w:t>у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9300D6" w:rsidRPr="00DC5871">
        <w:rPr>
          <w:rFonts w:ascii="PT Astra Serif" w:hAnsi="PT Astra Serif"/>
          <w:sz w:val="28"/>
          <w:szCs w:val="28"/>
        </w:rPr>
        <w:t xml:space="preserve"> был произведен </w:t>
      </w:r>
      <w:r w:rsidRPr="00DC5871">
        <w:rPr>
          <w:rFonts w:ascii="PT Astra Serif" w:hAnsi="PT Astra Serif"/>
          <w:sz w:val="28"/>
          <w:szCs w:val="28"/>
        </w:rPr>
        <w:t xml:space="preserve">ремонт автодорог и тротуаров на сумму </w:t>
      </w:r>
      <w:r w:rsidR="001F22AA">
        <w:rPr>
          <w:rFonts w:ascii="PT Astra Serif" w:hAnsi="PT Astra Serif"/>
          <w:sz w:val="28"/>
          <w:szCs w:val="28"/>
        </w:rPr>
        <w:t>81,18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871">
        <w:rPr>
          <w:rFonts w:ascii="PT Astra Serif" w:hAnsi="PT Astra Serif"/>
          <w:sz w:val="28"/>
          <w:szCs w:val="28"/>
        </w:rPr>
        <w:t>млн</w:t>
      </w:r>
      <w:proofErr w:type="gramStart"/>
      <w:r w:rsidRPr="00DC5871">
        <w:rPr>
          <w:rFonts w:ascii="PT Astra Serif" w:hAnsi="PT Astra Serif"/>
          <w:sz w:val="28"/>
          <w:szCs w:val="28"/>
        </w:rPr>
        <w:t>.р</w:t>
      </w:r>
      <w:proofErr w:type="gramEnd"/>
      <w:r w:rsidRPr="00DC5871">
        <w:rPr>
          <w:rFonts w:ascii="PT Astra Serif" w:hAnsi="PT Astra Serif"/>
          <w:sz w:val="28"/>
          <w:szCs w:val="28"/>
        </w:rPr>
        <w:t>уб</w:t>
      </w:r>
      <w:proofErr w:type="spellEnd"/>
      <w:r w:rsidRPr="00DC5871">
        <w:rPr>
          <w:rFonts w:ascii="PT Astra Serif" w:hAnsi="PT Astra Serif"/>
          <w:sz w:val="28"/>
          <w:szCs w:val="28"/>
        </w:rPr>
        <w:t>.</w:t>
      </w:r>
      <w:r w:rsidR="009300D6" w:rsidRPr="00DC5871">
        <w:rPr>
          <w:rFonts w:ascii="PT Astra Serif" w:hAnsi="PT Astra Serif"/>
          <w:sz w:val="28"/>
          <w:szCs w:val="28"/>
        </w:rPr>
        <w:t xml:space="preserve"> общей площадью </w:t>
      </w:r>
      <w:r w:rsidR="001F22AA">
        <w:rPr>
          <w:rFonts w:ascii="PT Astra Serif" w:hAnsi="PT Astra Serif"/>
          <w:sz w:val="28"/>
          <w:szCs w:val="28"/>
        </w:rPr>
        <w:t>62,9</w:t>
      </w:r>
      <w:r w:rsidR="009300D6" w:rsidRPr="00DC5871">
        <w:rPr>
          <w:rFonts w:ascii="PT Astra Serif" w:hAnsi="PT Astra Serif"/>
          <w:sz w:val="28"/>
          <w:szCs w:val="28"/>
        </w:rPr>
        <w:t xml:space="preserve"> тыс</w:t>
      </w:r>
      <w:r w:rsidR="00A16CBF" w:rsidRPr="00DC5871">
        <w:rPr>
          <w:rFonts w:ascii="PT Astra Serif" w:hAnsi="PT Astra Serif"/>
          <w:sz w:val="28"/>
          <w:szCs w:val="28"/>
        </w:rPr>
        <w:t>.</w:t>
      </w:r>
      <w:r w:rsidR="009300D6" w:rsidRPr="00DC58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300D6" w:rsidRPr="00DC5871">
        <w:rPr>
          <w:rFonts w:ascii="PT Astra Serif" w:hAnsi="PT Astra Serif"/>
          <w:sz w:val="28"/>
          <w:szCs w:val="28"/>
        </w:rPr>
        <w:t>кв.м</w:t>
      </w:r>
      <w:proofErr w:type="spellEnd"/>
      <w:r w:rsidR="009300D6" w:rsidRPr="00DC5871">
        <w:rPr>
          <w:rFonts w:ascii="PT Astra Serif" w:hAnsi="PT Astra Serif"/>
          <w:sz w:val="28"/>
          <w:szCs w:val="28"/>
        </w:rPr>
        <w:t>.</w:t>
      </w:r>
      <w:r w:rsidRPr="00DC5871">
        <w:rPr>
          <w:rFonts w:ascii="PT Astra Serif" w:hAnsi="PT Astra Serif"/>
          <w:sz w:val="28"/>
          <w:szCs w:val="28"/>
        </w:rPr>
        <w:t xml:space="preserve"> </w:t>
      </w:r>
    </w:p>
    <w:p w:rsidR="00815F84" w:rsidRPr="00DC5871" w:rsidRDefault="00815F84" w:rsidP="007A32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02B2">
        <w:rPr>
          <w:rFonts w:ascii="PT Astra Serif" w:hAnsi="PT Astra Serif"/>
          <w:sz w:val="28"/>
          <w:szCs w:val="28"/>
        </w:rPr>
        <w:t>В целях обеспечения безопасности дорожного движения в 2019 году было обустроено 5 пешеходных переходов с установкой светофоров Т</w:t>
      </w:r>
      <w:proofErr w:type="gramStart"/>
      <w:r w:rsidRPr="00BE02B2">
        <w:rPr>
          <w:rFonts w:ascii="PT Astra Serif" w:hAnsi="PT Astra Serif"/>
          <w:sz w:val="28"/>
          <w:szCs w:val="28"/>
        </w:rPr>
        <w:t>7</w:t>
      </w:r>
      <w:proofErr w:type="gramEnd"/>
      <w:r w:rsidRPr="00BE02B2">
        <w:rPr>
          <w:rFonts w:ascii="PT Astra Serif" w:hAnsi="PT Astra Serif"/>
          <w:sz w:val="28"/>
          <w:szCs w:val="28"/>
        </w:rPr>
        <w:t xml:space="preserve">, </w:t>
      </w:r>
      <w:r w:rsidRPr="00BE02B2">
        <w:rPr>
          <w:rFonts w:ascii="PT Astra Serif" w:hAnsi="PT Astra Serif"/>
          <w:sz w:val="28"/>
          <w:szCs w:val="28"/>
        </w:rPr>
        <w:lastRenderedPageBreak/>
        <w:t>искусственных неровностей, ограждений вблизи 5 образовательных учреждений, пешеходная дорожка к школе в д. Дудкино и по ул. Тульская в Епифани. В 2020 году планируется продолжение работ по  обеспечению безопасности дорожного движения.</w:t>
      </w:r>
    </w:p>
    <w:p w:rsidR="004F3F80" w:rsidRPr="00DC5871" w:rsidRDefault="000A310B" w:rsidP="0047569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В</w:t>
      </w:r>
      <w:r w:rsidR="00AD73E5" w:rsidRPr="00DC5871">
        <w:rPr>
          <w:rFonts w:ascii="PT Astra Serif" w:hAnsi="PT Astra Serif"/>
          <w:sz w:val="28"/>
          <w:szCs w:val="28"/>
        </w:rPr>
        <w:t xml:space="preserve"> 201</w:t>
      </w:r>
      <w:r w:rsidR="00A505CD">
        <w:rPr>
          <w:rFonts w:ascii="PT Astra Serif" w:hAnsi="PT Astra Serif"/>
          <w:sz w:val="28"/>
          <w:szCs w:val="28"/>
        </w:rPr>
        <w:t>9</w:t>
      </w:r>
      <w:r w:rsidR="00AD73E5" w:rsidRPr="00DC5871">
        <w:rPr>
          <w:rFonts w:ascii="PT Astra Serif" w:hAnsi="PT Astra Serif"/>
          <w:sz w:val="28"/>
          <w:szCs w:val="28"/>
        </w:rPr>
        <w:t xml:space="preserve"> году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927AB7" w:rsidRPr="00DC5871">
        <w:rPr>
          <w:rFonts w:ascii="PT Astra Serif" w:hAnsi="PT Astra Serif"/>
          <w:sz w:val="28"/>
          <w:szCs w:val="28"/>
          <w:lang w:eastAsia="ru-RU"/>
        </w:rPr>
        <w:t xml:space="preserve">доля </w:t>
      </w:r>
      <w:r w:rsidR="00FB3819" w:rsidRPr="00DC5871">
        <w:rPr>
          <w:rFonts w:ascii="PT Astra Serif" w:hAnsi="PT Astra Serif"/>
          <w:sz w:val="28"/>
          <w:szCs w:val="28"/>
          <w:lang w:eastAsia="ru-RU"/>
        </w:rPr>
        <w:t xml:space="preserve">протяженности </w:t>
      </w:r>
      <w:r w:rsidR="00927AB7" w:rsidRPr="00DC5871">
        <w:rPr>
          <w:rFonts w:ascii="PT Astra Serif" w:hAnsi="PT Astra Serif"/>
          <w:sz w:val="28"/>
          <w:szCs w:val="28"/>
          <w:lang w:eastAsia="ru-RU"/>
        </w:rPr>
        <w:t>автомобильных дорог, не отвечающих нормативным требованиям, в общей протяженности автодорог общего пользования местного значения</w:t>
      </w:r>
      <w:r w:rsidR="00927AB7" w:rsidRPr="00DC5871">
        <w:rPr>
          <w:rFonts w:ascii="PT Astra Serif" w:hAnsi="PT Astra Serif"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890D7C" w:rsidRPr="00DC5871">
        <w:rPr>
          <w:rFonts w:ascii="PT Astra Serif" w:hAnsi="PT Astra Serif"/>
          <w:sz w:val="28"/>
          <w:szCs w:val="28"/>
        </w:rPr>
        <w:t>сократил</w:t>
      </w:r>
      <w:r w:rsidR="00EB56B4" w:rsidRPr="00DC5871">
        <w:rPr>
          <w:rFonts w:ascii="PT Astra Serif" w:hAnsi="PT Astra Serif"/>
          <w:sz w:val="28"/>
          <w:szCs w:val="28"/>
        </w:rPr>
        <w:t>а</w:t>
      </w:r>
      <w:r w:rsidR="00890D7C" w:rsidRPr="00DC5871">
        <w:rPr>
          <w:rFonts w:ascii="PT Astra Serif" w:hAnsi="PT Astra Serif"/>
          <w:sz w:val="28"/>
          <w:szCs w:val="28"/>
        </w:rPr>
        <w:t>с</w:t>
      </w:r>
      <w:r w:rsidR="00EB56B4" w:rsidRPr="00DC5871">
        <w:rPr>
          <w:rFonts w:ascii="PT Astra Serif" w:hAnsi="PT Astra Serif"/>
          <w:sz w:val="28"/>
          <w:szCs w:val="28"/>
        </w:rPr>
        <w:t>ь</w:t>
      </w:r>
      <w:r w:rsidR="00890D7C" w:rsidRPr="00DC5871">
        <w:rPr>
          <w:rFonts w:ascii="PT Astra Serif" w:hAnsi="PT Astra Serif"/>
          <w:sz w:val="28"/>
          <w:szCs w:val="28"/>
        </w:rPr>
        <w:t xml:space="preserve"> по сравнению с 201</w:t>
      </w:r>
      <w:r w:rsidR="00E4505A">
        <w:rPr>
          <w:rFonts w:ascii="PT Astra Serif" w:hAnsi="PT Astra Serif"/>
          <w:sz w:val="28"/>
          <w:szCs w:val="28"/>
        </w:rPr>
        <w:t>8</w:t>
      </w:r>
      <w:r w:rsidR="00890D7C" w:rsidRPr="00DC5871">
        <w:rPr>
          <w:rFonts w:ascii="PT Astra Serif" w:hAnsi="PT Astra Serif"/>
          <w:sz w:val="28"/>
          <w:szCs w:val="28"/>
        </w:rPr>
        <w:t xml:space="preserve"> годом на </w:t>
      </w:r>
      <w:r w:rsidR="0047569A" w:rsidRPr="00DC5871">
        <w:rPr>
          <w:rFonts w:ascii="PT Astra Serif" w:hAnsi="PT Astra Serif"/>
          <w:sz w:val="28"/>
          <w:szCs w:val="28"/>
        </w:rPr>
        <w:t>2</w:t>
      </w:r>
      <w:r w:rsidR="00E4505A">
        <w:rPr>
          <w:rFonts w:ascii="PT Astra Serif" w:hAnsi="PT Astra Serif"/>
          <w:sz w:val="28"/>
          <w:szCs w:val="28"/>
        </w:rPr>
        <w:t>,6</w:t>
      </w:r>
      <w:r w:rsidR="0047569A" w:rsidRPr="00DC5871">
        <w:rPr>
          <w:rFonts w:ascii="PT Astra Serif" w:hAnsi="PT Astra Serif"/>
          <w:sz w:val="28"/>
          <w:szCs w:val="28"/>
        </w:rPr>
        <w:t xml:space="preserve"> </w:t>
      </w:r>
      <w:r w:rsidR="00890D7C" w:rsidRPr="00DC5871">
        <w:rPr>
          <w:rFonts w:ascii="PT Astra Serif" w:hAnsi="PT Astra Serif"/>
          <w:sz w:val="28"/>
          <w:szCs w:val="28"/>
        </w:rPr>
        <w:t xml:space="preserve"> процент</w:t>
      </w:r>
      <w:r w:rsidR="00E4505A">
        <w:rPr>
          <w:rFonts w:ascii="PT Astra Serif" w:hAnsi="PT Astra Serif"/>
          <w:sz w:val="28"/>
          <w:szCs w:val="28"/>
        </w:rPr>
        <w:t>ных пункта</w:t>
      </w:r>
      <w:r w:rsidR="00890D7C" w:rsidRPr="00DC5871">
        <w:rPr>
          <w:rFonts w:ascii="PT Astra Serif" w:hAnsi="PT Astra Serif"/>
          <w:sz w:val="28"/>
          <w:szCs w:val="28"/>
        </w:rPr>
        <w:t xml:space="preserve"> и с</w:t>
      </w:r>
      <w:r w:rsidR="00AD73E5" w:rsidRPr="00DC5871">
        <w:rPr>
          <w:rFonts w:ascii="PT Astra Serif" w:hAnsi="PT Astra Serif"/>
          <w:sz w:val="28"/>
          <w:szCs w:val="28"/>
        </w:rPr>
        <w:t>остав</w:t>
      </w:r>
      <w:r w:rsidRPr="00DC5871">
        <w:rPr>
          <w:rFonts w:ascii="PT Astra Serif" w:hAnsi="PT Astra Serif"/>
          <w:sz w:val="28"/>
          <w:szCs w:val="28"/>
        </w:rPr>
        <w:t>и</w:t>
      </w:r>
      <w:r w:rsidR="00AD73E5" w:rsidRPr="00DC5871">
        <w:rPr>
          <w:rFonts w:ascii="PT Astra Serif" w:hAnsi="PT Astra Serif"/>
          <w:sz w:val="28"/>
          <w:szCs w:val="28"/>
        </w:rPr>
        <w:t>л</w:t>
      </w:r>
      <w:r w:rsidR="00EB56B4" w:rsidRPr="00DC5871">
        <w:rPr>
          <w:rFonts w:ascii="PT Astra Serif" w:hAnsi="PT Astra Serif"/>
          <w:sz w:val="28"/>
          <w:szCs w:val="28"/>
        </w:rPr>
        <w:t>а</w:t>
      </w:r>
      <w:r w:rsidR="00890D7C" w:rsidRPr="00DC5871">
        <w:rPr>
          <w:rFonts w:ascii="PT Astra Serif" w:hAnsi="PT Astra Serif"/>
          <w:sz w:val="28"/>
          <w:szCs w:val="28"/>
        </w:rPr>
        <w:t xml:space="preserve"> </w:t>
      </w:r>
      <w:r w:rsidR="00E4505A">
        <w:rPr>
          <w:rFonts w:ascii="PT Astra Serif" w:hAnsi="PT Astra Serif"/>
          <w:sz w:val="28"/>
          <w:szCs w:val="28"/>
        </w:rPr>
        <w:t>81</w:t>
      </w:r>
      <w:r w:rsidR="0047569A" w:rsidRPr="00DC5871">
        <w:rPr>
          <w:rFonts w:ascii="PT Astra Serif" w:hAnsi="PT Astra Serif"/>
          <w:sz w:val="28"/>
          <w:szCs w:val="28"/>
        </w:rPr>
        <w:t>,8</w:t>
      </w:r>
      <w:r w:rsidR="00DE75BA" w:rsidRPr="00DC5871">
        <w:rPr>
          <w:rFonts w:ascii="PT Astra Serif" w:hAnsi="PT Astra Serif"/>
          <w:sz w:val="28"/>
          <w:szCs w:val="28"/>
        </w:rPr>
        <w:t xml:space="preserve"> </w:t>
      </w:r>
      <w:r w:rsidR="00890D7C" w:rsidRPr="00DC5871">
        <w:rPr>
          <w:rFonts w:ascii="PT Astra Serif" w:hAnsi="PT Astra Serif"/>
          <w:sz w:val="28"/>
          <w:szCs w:val="28"/>
        </w:rPr>
        <w:t>процент</w:t>
      </w:r>
      <w:r w:rsidR="00AE4085" w:rsidRPr="00DC5871">
        <w:rPr>
          <w:rFonts w:ascii="PT Astra Serif" w:hAnsi="PT Astra Serif"/>
          <w:sz w:val="28"/>
          <w:szCs w:val="28"/>
        </w:rPr>
        <w:t>ов</w:t>
      </w:r>
      <w:r w:rsidRPr="00DC5871">
        <w:rPr>
          <w:rFonts w:ascii="PT Astra Serif" w:hAnsi="PT Astra Serif"/>
          <w:sz w:val="28"/>
          <w:szCs w:val="28"/>
        </w:rPr>
        <w:t xml:space="preserve"> (в 201</w:t>
      </w:r>
      <w:r w:rsidR="0042562D">
        <w:rPr>
          <w:rFonts w:ascii="PT Astra Serif" w:hAnsi="PT Astra Serif"/>
          <w:sz w:val="28"/>
          <w:szCs w:val="28"/>
        </w:rPr>
        <w:t>8</w:t>
      </w:r>
      <w:r w:rsidRPr="00DC5871">
        <w:rPr>
          <w:rFonts w:ascii="PT Astra Serif" w:hAnsi="PT Astra Serif"/>
          <w:sz w:val="28"/>
          <w:szCs w:val="28"/>
        </w:rPr>
        <w:t xml:space="preserve"> году – </w:t>
      </w:r>
      <w:r w:rsidR="00E4505A">
        <w:rPr>
          <w:rFonts w:ascii="PT Astra Serif" w:hAnsi="PT Astra Serif"/>
          <w:sz w:val="28"/>
          <w:szCs w:val="28"/>
        </w:rPr>
        <w:t>84,4</w:t>
      </w:r>
      <w:r w:rsidRPr="00DC5871">
        <w:rPr>
          <w:rFonts w:ascii="PT Astra Serif" w:hAnsi="PT Astra Serif"/>
          <w:sz w:val="28"/>
          <w:szCs w:val="28"/>
        </w:rPr>
        <w:t xml:space="preserve"> процент</w:t>
      </w:r>
      <w:r w:rsidR="0081189C" w:rsidRPr="00DC5871">
        <w:rPr>
          <w:rFonts w:ascii="PT Astra Serif" w:hAnsi="PT Astra Serif"/>
          <w:sz w:val="28"/>
          <w:szCs w:val="28"/>
        </w:rPr>
        <w:t>ов</w:t>
      </w:r>
      <w:r w:rsidRPr="00DC5871">
        <w:rPr>
          <w:rFonts w:ascii="PT Astra Serif" w:hAnsi="PT Astra Serif"/>
          <w:sz w:val="28"/>
          <w:szCs w:val="28"/>
        </w:rPr>
        <w:t xml:space="preserve">). </w:t>
      </w:r>
      <w:r w:rsidR="007641DB" w:rsidRPr="00DC5871">
        <w:rPr>
          <w:rFonts w:ascii="PT Astra Serif" w:hAnsi="PT Astra Serif"/>
          <w:sz w:val="28"/>
          <w:szCs w:val="28"/>
        </w:rPr>
        <w:t>К 20</w:t>
      </w:r>
      <w:r w:rsidR="00E4505A">
        <w:rPr>
          <w:rFonts w:ascii="PT Astra Serif" w:hAnsi="PT Astra Serif"/>
          <w:sz w:val="28"/>
          <w:szCs w:val="28"/>
        </w:rPr>
        <w:t>22</w:t>
      </w:r>
      <w:r w:rsidR="007641DB" w:rsidRPr="00DC5871">
        <w:rPr>
          <w:rFonts w:ascii="PT Astra Serif" w:hAnsi="PT Astra Serif"/>
          <w:sz w:val="28"/>
          <w:szCs w:val="28"/>
        </w:rPr>
        <w:t xml:space="preserve"> году этот показатель планируется </w:t>
      </w:r>
      <w:r w:rsidR="00DE3901" w:rsidRPr="00DC5871">
        <w:rPr>
          <w:rFonts w:ascii="PT Astra Serif" w:hAnsi="PT Astra Serif"/>
          <w:sz w:val="28"/>
          <w:szCs w:val="28"/>
        </w:rPr>
        <w:t>довести до</w:t>
      </w:r>
      <w:r w:rsidR="007641DB" w:rsidRPr="00DC5871">
        <w:rPr>
          <w:rFonts w:ascii="PT Astra Serif" w:hAnsi="PT Astra Serif"/>
          <w:sz w:val="28"/>
          <w:szCs w:val="28"/>
        </w:rPr>
        <w:t xml:space="preserve"> уровн</w:t>
      </w:r>
      <w:r w:rsidR="00DE3901" w:rsidRPr="00DC5871">
        <w:rPr>
          <w:rFonts w:ascii="PT Astra Serif" w:hAnsi="PT Astra Serif"/>
          <w:sz w:val="28"/>
          <w:szCs w:val="28"/>
        </w:rPr>
        <w:t>я</w:t>
      </w:r>
      <w:r w:rsidR="007641DB" w:rsidRPr="00DC5871">
        <w:rPr>
          <w:rFonts w:ascii="PT Astra Serif" w:hAnsi="PT Astra Serif"/>
          <w:sz w:val="28"/>
          <w:szCs w:val="28"/>
        </w:rPr>
        <w:t xml:space="preserve"> </w:t>
      </w:r>
      <w:r w:rsidR="00E4505A">
        <w:rPr>
          <w:rFonts w:ascii="PT Astra Serif" w:hAnsi="PT Astra Serif"/>
          <w:sz w:val="28"/>
          <w:szCs w:val="28"/>
        </w:rPr>
        <w:t>75,8</w:t>
      </w:r>
      <w:r w:rsidR="007641DB" w:rsidRPr="00DC5871">
        <w:rPr>
          <w:rFonts w:ascii="PT Astra Serif" w:hAnsi="PT Astra Serif"/>
          <w:sz w:val="28"/>
          <w:szCs w:val="28"/>
        </w:rPr>
        <w:t xml:space="preserve"> процент</w:t>
      </w:r>
      <w:r w:rsidR="0047569A" w:rsidRPr="00DC5871">
        <w:rPr>
          <w:rFonts w:ascii="PT Astra Serif" w:hAnsi="PT Astra Serif"/>
          <w:sz w:val="28"/>
          <w:szCs w:val="28"/>
        </w:rPr>
        <w:t>ов</w:t>
      </w:r>
      <w:r w:rsidR="0084759A" w:rsidRPr="00DC5871">
        <w:rPr>
          <w:rFonts w:ascii="PT Astra Serif" w:hAnsi="PT Astra Serif"/>
          <w:sz w:val="28"/>
          <w:szCs w:val="28"/>
        </w:rPr>
        <w:t>.</w:t>
      </w:r>
    </w:p>
    <w:p w:rsidR="007736D4" w:rsidRPr="007C6C9C" w:rsidRDefault="007736D4" w:rsidP="009118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6C9C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62575" cy="2838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0935" w:rsidRPr="00DC5871" w:rsidRDefault="000B0935" w:rsidP="0054146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>В 201</w:t>
      </w:r>
      <w:r w:rsidR="00B03253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сохранилась сеть пригородных и межмуниципальных маршрутов удовлетворяющая потребность населения в пассажирских перевозках. Количество маршрутов регулярных автобусных перевозок осталось на уровне 201</w:t>
      </w:r>
      <w:r w:rsidR="00B03253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p w:rsidR="00BB0A5F" w:rsidRPr="00DC5871" w:rsidRDefault="006D0CB9" w:rsidP="0054146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Население района практически полностью обеспечено регулярным транспортным сообщением. </w:t>
      </w:r>
      <w:r w:rsidR="007641DB" w:rsidRPr="00DC5871">
        <w:rPr>
          <w:rFonts w:ascii="PT Astra Serif" w:hAnsi="PT Astra Serif"/>
          <w:sz w:val="28"/>
          <w:szCs w:val="28"/>
        </w:rPr>
        <w:t>Доля населения, проживающего в населенных пунктах, не имеющих регулярного автобусного и (или) ж/д сообщения с административным центром муниципального района, в общей численности населения муниципального района за 201</w:t>
      </w:r>
      <w:r w:rsidR="00F6045D">
        <w:rPr>
          <w:rFonts w:ascii="PT Astra Serif" w:hAnsi="PT Astra Serif"/>
          <w:sz w:val="28"/>
          <w:szCs w:val="28"/>
        </w:rPr>
        <w:t>9</w:t>
      </w:r>
      <w:r w:rsidR="007641DB" w:rsidRPr="00DC5871">
        <w:rPr>
          <w:rFonts w:ascii="PT Astra Serif" w:hAnsi="PT Astra Serif"/>
          <w:sz w:val="28"/>
          <w:szCs w:val="28"/>
        </w:rPr>
        <w:t xml:space="preserve"> год не изменилась по сравнению с прошлым годом и составила 2,0 процента. К 20</w:t>
      </w:r>
      <w:r w:rsidR="007C6C9C" w:rsidRPr="00DC5871">
        <w:rPr>
          <w:rFonts w:ascii="PT Astra Serif" w:hAnsi="PT Astra Serif"/>
          <w:sz w:val="28"/>
          <w:szCs w:val="28"/>
        </w:rPr>
        <w:t>2</w:t>
      </w:r>
      <w:r w:rsidR="00F6045D">
        <w:rPr>
          <w:rFonts w:ascii="PT Astra Serif" w:hAnsi="PT Astra Serif"/>
          <w:sz w:val="28"/>
          <w:szCs w:val="28"/>
        </w:rPr>
        <w:t>2</w:t>
      </w:r>
      <w:r w:rsidR="007641DB" w:rsidRPr="00DC5871">
        <w:rPr>
          <w:rFonts w:ascii="PT Astra Serif" w:hAnsi="PT Astra Serif"/>
          <w:sz w:val="28"/>
          <w:szCs w:val="28"/>
        </w:rPr>
        <w:t xml:space="preserve"> году данный показатель </w:t>
      </w:r>
      <w:r w:rsidR="00477241" w:rsidRPr="00DC5871">
        <w:rPr>
          <w:rFonts w:ascii="PT Astra Serif" w:hAnsi="PT Astra Serif"/>
          <w:sz w:val="28"/>
          <w:szCs w:val="28"/>
        </w:rPr>
        <w:t xml:space="preserve">не </w:t>
      </w:r>
      <w:r w:rsidR="007641DB" w:rsidRPr="00DC5871">
        <w:rPr>
          <w:rFonts w:ascii="PT Astra Serif" w:hAnsi="PT Astra Serif"/>
          <w:sz w:val="28"/>
          <w:szCs w:val="28"/>
        </w:rPr>
        <w:t>уменьшится.</w:t>
      </w:r>
      <w:r w:rsidR="0026596F" w:rsidRPr="00DC5871">
        <w:rPr>
          <w:rFonts w:ascii="PT Astra Serif" w:hAnsi="PT Astra Serif"/>
          <w:sz w:val="28"/>
          <w:szCs w:val="28"/>
        </w:rPr>
        <w:t xml:space="preserve"> </w:t>
      </w:r>
    </w:p>
    <w:p w:rsidR="00C1361C" w:rsidRPr="00DC5871" w:rsidRDefault="00C1361C" w:rsidP="005414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Доходы населения</w:t>
      </w:r>
    </w:p>
    <w:p w:rsidR="00357CAB" w:rsidRPr="00DC5871" w:rsidRDefault="00357CAB" w:rsidP="0054146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Размер среднемесячной номинальной начисленной заработной платы работников крупных и средних предприятий и некоммерческих организаций в 201</w:t>
      </w:r>
      <w:r w:rsidR="00B03253">
        <w:rPr>
          <w:rFonts w:ascii="PT Astra Serif" w:hAnsi="PT Astra Serif"/>
          <w:sz w:val="28"/>
          <w:szCs w:val="28"/>
          <w:lang w:eastAsia="ru-RU"/>
        </w:rPr>
        <w:t>9</w:t>
      </w:r>
      <w:r w:rsidR="00D803AC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году по </w:t>
      </w:r>
      <w:proofErr w:type="spellStart"/>
      <w:r w:rsidRPr="00DC5871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DC5871">
        <w:rPr>
          <w:rFonts w:ascii="PT Astra Serif" w:hAnsi="PT Astra Serif"/>
          <w:sz w:val="28"/>
          <w:szCs w:val="28"/>
          <w:lang w:eastAsia="ru-RU"/>
        </w:rPr>
        <w:t xml:space="preserve"> району увеличился по сравнению с прошлым годом на </w:t>
      </w:r>
      <w:r w:rsidR="004A7D77">
        <w:rPr>
          <w:rFonts w:ascii="PT Astra Serif" w:hAnsi="PT Astra Serif"/>
          <w:sz w:val="28"/>
          <w:szCs w:val="28"/>
          <w:lang w:eastAsia="ru-RU"/>
        </w:rPr>
        <w:t>3,6</w:t>
      </w:r>
      <w:r w:rsidR="00AF411E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% и составил </w:t>
      </w:r>
      <w:r w:rsidR="004A7D77">
        <w:rPr>
          <w:rFonts w:ascii="PT Astra Serif" w:eastAsia="Times New Roman" w:hAnsi="PT Astra Serif"/>
          <w:sz w:val="28"/>
          <w:szCs w:val="28"/>
          <w:lang w:eastAsia="ru-RU"/>
        </w:rPr>
        <w:t>30610,5</w:t>
      </w:r>
      <w:r w:rsidR="00E63D12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рублей </w:t>
      </w:r>
      <w:r w:rsidR="00194BB9" w:rsidRPr="00DC5871">
        <w:rPr>
          <w:rFonts w:ascii="PT Astra Serif" w:hAnsi="PT Astra Serif"/>
          <w:sz w:val="28"/>
          <w:szCs w:val="28"/>
          <w:lang w:eastAsia="ru-RU"/>
        </w:rPr>
        <w:t>(</w:t>
      </w:r>
      <w:r w:rsidRPr="00DC5871">
        <w:rPr>
          <w:rFonts w:ascii="PT Astra Serif" w:hAnsi="PT Astra Serif"/>
          <w:sz w:val="28"/>
          <w:szCs w:val="28"/>
          <w:lang w:eastAsia="ru-RU"/>
        </w:rPr>
        <w:t>в 201</w:t>
      </w:r>
      <w:r w:rsidR="004A7D77">
        <w:rPr>
          <w:rFonts w:ascii="PT Astra Serif" w:hAnsi="PT Astra Serif"/>
          <w:sz w:val="28"/>
          <w:szCs w:val="28"/>
          <w:lang w:eastAsia="ru-RU"/>
        </w:rPr>
        <w:t>8</w:t>
      </w:r>
      <w:r w:rsidR="00E63D12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году </w:t>
      </w:r>
      <w:r w:rsidR="005A49AC" w:rsidRPr="00DC5871">
        <w:rPr>
          <w:rFonts w:ascii="PT Astra Serif" w:hAnsi="PT Astra Serif"/>
          <w:sz w:val="28"/>
          <w:szCs w:val="28"/>
          <w:lang w:eastAsia="ru-RU"/>
        </w:rPr>
        <w:t>–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A7D77">
        <w:rPr>
          <w:rFonts w:ascii="PT Astra Serif" w:eastAsia="Times New Roman" w:hAnsi="PT Astra Serif"/>
          <w:sz w:val="28"/>
          <w:szCs w:val="28"/>
          <w:lang w:eastAsia="ru-RU"/>
        </w:rPr>
        <w:t>29561,0</w:t>
      </w:r>
      <w:r w:rsidR="00E63D12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рубл</w:t>
      </w:r>
      <w:r w:rsidR="005A49AC" w:rsidRPr="00DC5871">
        <w:rPr>
          <w:rFonts w:ascii="PT Astra Serif" w:hAnsi="PT Astra Serif"/>
          <w:sz w:val="28"/>
          <w:szCs w:val="28"/>
          <w:lang w:eastAsia="ru-RU"/>
        </w:rPr>
        <w:t>ей</w:t>
      </w:r>
      <w:r w:rsidRPr="00DC5871">
        <w:rPr>
          <w:rFonts w:ascii="PT Astra Serif" w:hAnsi="PT Astra Serif"/>
          <w:sz w:val="28"/>
          <w:szCs w:val="28"/>
          <w:lang w:eastAsia="ru-RU"/>
        </w:rPr>
        <w:t>). Планируется дальнейшее повышение уровня заработной платы и к 20</w:t>
      </w:r>
      <w:r w:rsidR="004A7D77">
        <w:rPr>
          <w:rFonts w:ascii="PT Astra Serif" w:hAnsi="PT Astra Serif"/>
          <w:sz w:val="28"/>
          <w:szCs w:val="28"/>
          <w:lang w:eastAsia="ru-RU"/>
        </w:rPr>
        <w:t>22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3671BF" w:rsidRPr="00DC5871">
        <w:rPr>
          <w:rFonts w:ascii="PT Astra Serif" w:hAnsi="PT Astra Serif"/>
          <w:sz w:val="28"/>
          <w:szCs w:val="28"/>
          <w:lang w:eastAsia="ru-RU"/>
        </w:rPr>
        <w:t>данный показатель составит</w:t>
      </w:r>
      <w:r w:rsidR="00E63D12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A7D77">
        <w:rPr>
          <w:rFonts w:ascii="PT Astra Serif" w:eastAsia="Times New Roman" w:hAnsi="PT Astra Serif"/>
          <w:sz w:val="28"/>
          <w:szCs w:val="28"/>
          <w:lang w:eastAsia="ru-RU"/>
        </w:rPr>
        <w:t>32000,0</w:t>
      </w:r>
      <w:r w:rsidR="00E63D12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671BF" w:rsidRPr="00DC5871">
        <w:rPr>
          <w:rFonts w:ascii="PT Astra Serif" w:hAnsi="PT Astra Serif"/>
          <w:sz w:val="28"/>
          <w:szCs w:val="28"/>
          <w:lang w:eastAsia="ru-RU"/>
        </w:rPr>
        <w:t>рубл</w:t>
      </w:r>
      <w:r w:rsidR="005A49AC" w:rsidRPr="00DC5871">
        <w:rPr>
          <w:rFonts w:ascii="PT Astra Serif" w:hAnsi="PT Astra Serif"/>
          <w:sz w:val="28"/>
          <w:szCs w:val="28"/>
          <w:lang w:eastAsia="ru-RU"/>
        </w:rPr>
        <w:t>ей</w:t>
      </w:r>
      <w:r w:rsidR="003671BF" w:rsidRPr="00DC5871">
        <w:rPr>
          <w:rFonts w:ascii="PT Astra Serif" w:hAnsi="PT Astra Serif"/>
          <w:sz w:val="28"/>
          <w:szCs w:val="28"/>
          <w:lang w:eastAsia="ru-RU"/>
        </w:rPr>
        <w:t>.</w:t>
      </w:r>
    </w:p>
    <w:p w:rsidR="00532A9C" w:rsidRPr="00B314AD" w:rsidRDefault="00532A9C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C3C5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638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2A9C" w:rsidRPr="00B314AD" w:rsidRDefault="00532A9C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C4754" w:rsidRPr="00DC5871" w:rsidRDefault="004C4754" w:rsidP="005414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течение 201</w:t>
      </w:r>
      <w:r w:rsidR="00C54269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года проводилась большая работа по легализации заработной платы и снижению неформальной занятости, в результате было заключено </w:t>
      </w:r>
      <w:r w:rsidR="00C54269" w:rsidRPr="00C54269">
        <w:rPr>
          <w:rFonts w:ascii="PT Astra Serif" w:hAnsi="PT Astra Serif"/>
          <w:sz w:val="28"/>
          <w:szCs w:val="28"/>
          <w:lang w:eastAsia="ru-RU"/>
        </w:rPr>
        <w:t>173</w:t>
      </w:r>
      <w:r w:rsidRPr="00C54269">
        <w:rPr>
          <w:rFonts w:ascii="PT Astra Serif" w:hAnsi="PT Astra Serif"/>
          <w:sz w:val="28"/>
          <w:szCs w:val="28"/>
          <w:lang w:eastAsia="ru-RU"/>
        </w:rPr>
        <w:t xml:space="preserve"> трудовых договор</w:t>
      </w:r>
      <w:r w:rsidR="007C148C" w:rsidRPr="00C54269">
        <w:rPr>
          <w:rFonts w:ascii="PT Astra Serif" w:hAnsi="PT Astra Serif"/>
          <w:sz w:val="28"/>
          <w:szCs w:val="28"/>
          <w:lang w:eastAsia="ru-RU"/>
        </w:rPr>
        <w:t>ов</w:t>
      </w:r>
      <w:r w:rsidRPr="00C54269">
        <w:rPr>
          <w:rFonts w:ascii="PT Astra Serif" w:hAnsi="PT Astra Serif"/>
          <w:sz w:val="28"/>
          <w:szCs w:val="28"/>
          <w:lang w:eastAsia="ru-RU"/>
        </w:rPr>
        <w:t xml:space="preserve"> с гражданами, осуществляющими трудовую деятельность, при плане </w:t>
      </w:r>
      <w:r w:rsidR="00C54269" w:rsidRPr="00C54269">
        <w:rPr>
          <w:rFonts w:ascii="PT Astra Serif" w:hAnsi="PT Astra Serif"/>
          <w:sz w:val="28"/>
          <w:szCs w:val="28"/>
          <w:lang w:eastAsia="ru-RU"/>
        </w:rPr>
        <w:t>163</w:t>
      </w:r>
      <w:r w:rsidR="003066BB" w:rsidRPr="00C54269">
        <w:rPr>
          <w:rFonts w:ascii="PT Astra Serif" w:hAnsi="PT Astra Serif"/>
          <w:sz w:val="28"/>
          <w:szCs w:val="28"/>
          <w:lang w:eastAsia="ru-RU"/>
        </w:rPr>
        <w:t>.</w:t>
      </w:r>
    </w:p>
    <w:p w:rsidR="005E65DB" w:rsidRPr="00DC5871" w:rsidRDefault="005E65DB" w:rsidP="005414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Администрацией муниципального образования в течение 201</w:t>
      </w:r>
      <w:r w:rsidR="00DB4B77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года проводилась работа по реализации Указа Президента Российской Федерации от 7 мая 2012 года №</w:t>
      </w:r>
      <w:r w:rsidR="005841D5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597 «О мероприятиях по реализации государственной социальной политики» в части доведения в 201</w:t>
      </w:r>
      <w:r w:rsidR="00DB4B77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области.</w:t>
      </w:r>
    </w:p>
    <w:p w:rsidR="00194BB9" w:rsidRPr="00DC5871" w:rsidRDefault="00194BB9" w:rsidP="0054146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дошкольных образовательных учреждений за отчетный год увеличилась на</w:t>
      </w:r>
      <w:r w:rsidR="004154B6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B4B77">
        <w:rPr>
          <w:rFonts w:ascii="PT Astra Serif" w:hAnsi="PT Astra Serif"/>
          <w:sz w:val="28"/>
          <w:szCs w:val="28"/>
          <w:lang w:eastAsia="ru-RU"/>
        </w:rPr>
        <w:t>9,0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процент</w:t>
      </w:r>
      <w:r w:rsidR="00DB4B77">
        <w:rPr>
          <w:rFonts w:ascii="PT Astra Serif" w:hAnsi="PT Astra Serif"/>
          <w:sz w:val="28"/>
          <w:szCs w:val="28"/>
          <w:lang w:eastAsia="ru-RU"/>
        </w:rPr>
        <w:t>ов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и составила </w:t>
      </w:r>
      <w:r w:rsidR="00DB4B77">
        <w:rPr>
          <w:rFonts w:ascii="PT Astra Serif" w:eastAsia="Times New Roman" w:hAnsi="PT Astra Serif"/>
          <w:sz w:val="28"/>
          <w:szCs w:val="28"/>
          <w:lang w:eastAsia="ru-RU"/>
        </w:rPr>
        <w:t>21030,4</w:t>
      </w:r>
      <w:r w:rsidR="00C16EA9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760D4" w:rsidRPr="00DC5871">
        <w:rPr>
          <w:rFonts w:ascii="PT Astra Serif" w:hAnsi="PT Astra Serif"/>
          <w:sz w:val="28"/>
          <w:szCs w:val="28"/>
          <w:lang w:eastAsia="ru-RU"/>
        </w:rPr>
        <w:t xml:space="preserve">рублей </w:t>
      </w:r>
      <w:r w:rsidRPr="00DC5871">
        <w:rPr>
          <w:rFonts w:ascii="PT Astra Serif" w:hAnsi="PT Astra Serif"/>
          <w:sz w:val="28"/>
          <w:szCs w:val="28"/>
          <w:lang w:eastAsia="ru-RU"/>
        </w:rPr>
        <w:t>(в 201</w:t>
      </w:r>
      <w:r w:rsidR="00DB4B77">
        <w:rPr>
          <w:rFonts w:ascii="PT Astra Serif" w:hAnsi="PT Astra Serif"/>
          <w:sz w:val="28"/>
          <w:szCs w:val="28"/>
          <w:lang w:eastAsia="ru-RU"/>
        </w:rPr>
        <w:t>8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DB4B77">
        <w:rPr>
          <w:rFonts w:ascii="PT Astra Serif" w:eastAsia="Times New Roman" w:hAnsi="PT Astra Serif"/>
          <w:sz w:val="28"/>
          <w:szCs w:val="28"/>
          <w:lang w:eastAsia="ru-RU"/>
        </w:rPr>
        <w:t>19298,2</w:t>
      </w:r>
      <w:r w:rsidR="00DB4B77" w:rsidRPr="00DB4B7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рубл</w:t>
      </w:r>
      <w:r w:rsidR="00F55D1F" w:rsidRPr="00DC5871">
        <w:rPr>
          <w:rFonts w:ascii="PT Astra Serif" w:hAnsi="PT Astra Serif"/>
          <w:sz w:val="28"/>
          <w:szCs w:val="28"/>
          <w:lang w:eastAsia="ru-RU"/>
        </w:rPr>
        <w:t>ей</w:t>
      </w:r>
      <w:r w:rsidRPr="00DC5871">
        <w:rPr>
          <w:rFonts w:ascii="PT Astra Serif" w:hAnsi="PT Astra Serif"/>
          <w:sz w:val="28"/>
          <w:szCs w:val="28"/>
          <w:lang w:eastAsia="ru-RU"/>
        </w:rPr>
        <w:t>), дальнейший рост заработной платы работников дошкольных образовательных учреждений предполагает до</w:t>
      </w:r>
      <w:r w:rsidR="00B40DA2" w:rsidRPr="00DC5871">
        <w:rPr>
          <w:rFonts w:ascii="PT Astra Serif" w:hAnsi="PT Astra Serif"/>
          <w:sz w:val="28"/>
          <w:szCs w:val="28"/>
          <w:lang w:eastAsia="ru-RU"/>
        </w:rPr>
        <w:t>вести уровень заработной платы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к 20</w:t>
      </w:r>
      <w:r w:rsidR="00DB4B77">
        <w:rPr>
          <w:rFonts w:ascii="PT Astra Serif" w:hAnsi="PT Astra Serif"/>
          <w:sz w:val="28"/>
          <w:szCs w:val="28"/>
          <w:lang w:eastAsia="ru-RU"/>
        </w:rPr>
        <w:t>22</w:t>
      </w:r>
      <w:r w:rsidR="00556A4A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году </w:t>
      </w:r>
      <w:r w:rsidR="00B40DA2" w:rsidRPr="00DC5871">
        <w:rPr>
          <w:rFonts w:ascii="PT Astra Serif" w:hAnsi="PT Astra Serif"/>
          <w:sz w:val="28"/>
          <w:szCs w:val="28"/>
          <w:lang w:eastAsia="ru-RU"/>
        </w:rPr>
        <w:t xml:space="preserve">до </w:t>
      </w:r>
      <w:r w:rsidR="00DB4B77">
        <w:rPr>
          <w:rFonts w:ascii="PT Astra Serif" w:eastAsia="Times New Roman" w:hAnsi="PT Astra Serif"/>
          <w:sz w:val="28"/>
          <w:szCs w:val="28"/>
          <w:lang w:eastAsia="ru-RU"/>
        </w:rPr>
        <w:t>23613,7</w:t>
      </w:r>
      <w:r w:rsidR="00C16EA9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рублей.</w:t>
      </w:r>
    </w:p>
    <w:p w:rsidR="0034035A" w:rsidRPr="00B314AD" w:rsidRDefault="0034035A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14FF6"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486400" cy="36385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035A" w:rsidRPr="00DC5871" w:rsidRDefault="00857447" w:rsidP="003C033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общеобразовательных учреждений муниципального образования за 201</w:t>
      </w:r>
      <w:r w:rsidR="003C0339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 составила в среднем </w:t>
      </w:r>
      <w:r w:rsidR="00490344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C0339">
        <w:rPr>
          <w:rFonts w:ascii="PT Astra Serif" w:eastAsia="Times New Roman" w:hAnsi="PT Astra Serif"/>
          <w:sz w:val="28"/>
          <w:szCs w:val="28"/>
          <w:lang w:eastAsia="ru-RU"/>
        </w:rPr>
        <w:t>26442,7</w:t>
      </w:r>
      <w:r w:rsidR="00514FF6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C0339">
        <w:rPr>
          <w:rFonts w:ascii="PT Astra Serif" w:hAnsi="PT Astra Serif"/>
          <w:sz w:val="28"/>
          <w:szCs w:val="28"/>
          <w:lang w:eastAsia="ru-RU"/>
        </w:rPr>
        <w:t>рублей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и выросла к уровню 201</w:t>
      </w:r>
      <w:r w:rsidR="003C0339">
        <w:rPr>
          <w:rFonts w:ascii="PT Astra Serif" w:hAnsi="PT Astra Serif"/>
          <w:sz w:val="28"/>
          <w:szCs w:val="28"/>
          <w:lang w:eastAsia="ru-RU"/>
        </w:rPr>
        <w:t>8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года на </w:t>
      </w:r>
      <w:r w:rsidR="003C0339">
        <w:rPr>
          <w:rFonts w:ascii="PT Astra Serif" w:hAnsi="PT Astra Serif"/>
          <w:sz w:val="28"/>
          <w:szCs w:val="28"/>
          <w:lang w:eastAsia="ru-RU"/>
        </w:rPr>
        <w:t>4,7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DF0C1C" w:rsidRPr="00B314AD" w:rsidRDefault="0034035A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  <w:r w:rsidRPr="00514FF6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5486400" cy="36385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B3B76">
        <w:rPr>
          <w:rFonts w:ascii="Times New Roman" w:hAnsi="Times New Roman"/>
          <w:sz w:val="28"/>
          <w:szCs w:val="20"/>
          <w:highlight w:val="yellow"/>
          <w:lang w:eastAsia="ru-RU"/>
        </w:rPr>
        <w:t xml:space="preserve"> </w:t>
      </w:r>
    </w:p>
    <w:p w:rsidR="00A01669" w:rsidRPr="00DC5871" w:rsidRDefault="00A01669" w:rsidP="0091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Дошкольное образование</w:t>
      </w:r>
    </w:p>
    <w:p w:rsidR="00A01669" w:rsidRPr="00DC5871" w:rsidRDefault="00A01669" w:rsidP="0049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Реализация государственной политики в сфере дошкольного образования, направленной на обеспечение конституционных прав граждан на получение дошкольного образования и расширение возможности удовлетворения потребностей населения в дошкольном образовании, является приоритетной.</w:t>
      </w:r>
    </w:p>
    <w:p w:rsidR="006C5A19" w:rsidRPr="00DC5871" w:rsidRDefault="006C5A19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71E06">
        <w:rPr>
          <w:rFonts w:ascii="PT Astra Serif" w:hAnsi="PT Astra Serif"/>
          <w:sz w:val="28"/>
          <w:szCs w:val="28"/>
        </w:rPr>
        <w:lastRenderedPageBreak/>
        <w:t>В муниципальной системе образования Кимовского района функционирует 36 образовательных учреждений, из них: 21 школа, 13 садов  и 2 учреждения дополнительного образования детей.</w:t>
      </w:r>
    </w:p>
    <w:p w:rsidR="00D975FD" w:rsidRPr="00DC5871" w:rsidRDefault="00617BC0" w:rsidP="00825039">
      <w:pPr>
        <w:pStyle w:val="a6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В рамках исполнения Указа Президента Российской Федерации от 7 мая 2012 года № 599 «О мерах по реализации государственной политики в области образования и науки», в соответствии с полномочиями местного самоуправления по предоставлению общедоступного дошкольного образования в</w:t>
      </w:r>
      <w:r w:rsidR="00A01669" w:rsidRPr="00DC5871">
        <w:rPr>
          <w:rFonts w:ascii="PT Astra Serif" w:hAnsi="PT Astra Serif"/>
          <w:sz w:val="28"/>
          <w:szCs w:val="28"/>
        </w:rPr>
        <w:t xml:space="preserve"> Кимовском районе отсутствует очередность по устройству детей в муниципальные дошкольные образовательные учреждения.</w:t>
      </w:r>
      <w:r w:rsidR="00D975FD" w:rsidRPr="00DC5871">
        <w:rPr>
          <w:rFonts w:ascii="PT Astra Serif" w:hAnsi="PT Astra Serif"/>
          <w:sz w:val="28"/>
          <w:szCs w:val="28"/>
        </w:rPr>
        <w:t xml:space="preserve"> </w:t>
      </w:r>
    </w:p>
    <w:p w:rsidR="00890CFA" w:rsidRPr="00DC5871" w:rsidRDefault="00890CFA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Изменение демографической ситуации оказывает влияние на положение дел во всех уровнях системы образования, в том числе и на дошкольное образование.</w:t>
      </w:r>
    </w:p>
    <w:p w:rsidR="00890CFA" w:rsidRPr="00DC5871" w:rsidRDefault="00890CFA" w:rsidP="00825039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В районе создана и развивается вариативная и многофункциональная сеть образовательных учреждений, реализующих основную общеобразовательную программу дошкольного образования: - детские сады общеразвивающего, комбинированного и компенсирующего видов.</w:t>
      </w:r>
    </w:p>
    <w:p w:rsidR="006C5A19" w:rsidRPr="00DC5871" w:rsidRDefault="006C5A19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 w:cs="TimesNewRomanPSMT"/>
          <w:sz w:val="28"/>
          <w:szCs w:val="28"/>
          <w:lang w:eastAsia="ru-RU"/>
        </w:rPr>
        <w:t xml:space="preserve">В целях обеспечения доступности дошкольного образования всем слоям населения в районе созданы условия по предоставлению услуги по приему заявлений, постановке на учет и зачислению в дошкольные образовательные организации в электронном виде. </w:t>
      </w:r>
    </w:p>
    <w:p w:rsidR="00BB0A5F" w:rsidRPr="00DC5871" w:rsidRDefault="00E6737B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За 201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 </w:t>
      </w:r>
      <w:r w:rsidR="00A01669" w:rsidRPr="00DC5871">
        <w:rPr>
          <w:rFonts w:ascii="PT Astra Serif" w:hAnsi="PT Astra Serif"/>
          <w:sz w:val="28"/>
          <w:szCs w:val="28"/>
          <w:lang w:eastAsia="ru-RU"/>
        </w:rPr>
        <w:t>уровень детей в возрасте 1-6 лет, получающих дошкольную образовательную услугу в общей числен</w:t>
      </w:r>
      <w:r>
        <w:rPr>
          <w:rFonts w:ascii="PT Astra Serif" w:hAnsi="PT Astra Serif"/>
          <w:sz w:val="28"/>
          <w:szCs w:val="28"/>
          <w:lang w:eastAsia="ru-RU"/>
        </w:rPr>
        <w:t>ности детей  в возрасте 1-6 лет</w:t>
      </w:r>
      <w:r w:rsidR="00A01669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снизился </w:t>
      </w:r>
      <w:r w:rsidR="00450D2D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A01669" w:rsidRPr="00DC5871">
        <w:rPr>
          <w:rFonts w:ascii="PT Astra Serif" w:hAnsi="PT Astra Serif"/>
          <w:sz w:val="28"/>
          <w:szCs w:val="28"/>
          <w:lang w:eastAsia="ru-RU"/>
        </w:rPr>
        <w:t xml:space="preserve">составил </w:t>
      </w:r>
      <w:r>
        <w:rPr>
          <w:rFonts w:ascii="PT Astra Serif" w:hAnsi="PT Astra Serif"/>
          <w:sz w:val="28"/>
          <w:szCs w:val="28"/>
          <w:lang w:eastAsia="ru-RU"/>
        </w:rPr>
        <w:t>58,4</w:t>
      </w:r>
      <w:r w:rsidR="00A01669" w:rsidRPr="00DC5871">
        <w:rPr>
          <w:rFonts w:ascii="PT Astra Serif" w:hAnsi="PT Astra Serif"/>
          <w:sz w:val="28"/>
          <w:szCs w:val="28"/>
          <w:lang w:eastAsia="ru-RU"/>
        </w:rPr>
        <w:t xml:space="preserve"> процентов</w:t>
      </w:r>
      <w:r w:rsidR="00352D94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6147FC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0D2D">
        <w:rPr>
          <w:rFonts w:ascii="PT Astra Serif" w:hAnsi="PT Astra Serif"/>
          <w:sz w:val="28"/>
          <w:szCs w:val="28"/>
          <w:lang w:eastAsia="ru-RU"/>
        </w:rPr>
        <w:t>Уменьшение показателя характеризуется снижением численности детей</w:t>
      </w:r>
      <w:r w:rsidR="00450D2D" w:rsidRPr="00450D2D">
        <w:t xml:space="preserve"> </w:t>
      </w:r>
      <w:r w:rsidR="00450D2D" w:rsidRPr="00450D2D">
        <w:rPr>
          <w:rFonts w:ascii="PT Astra Serif" w:hAnsi="PT Astra Serif"/>
          <w:sz w:val="28"/>
          <w:szCs w:val="28"/>
          <w:lang w:eastAsia="ru-RU"/>
        </w:rPr>
        <w:t>возрасте 1-6 лет, получающих дошкольную образовательную услугу</w:t>
      </w:r>
      <w:r w:rsidR="00450D2D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A1236E" w:rsidRPr="00DC5871">
        <w:rPr>
          <w:rFonts w:ascii="PT Astra Serif" w:hAnsi="PT Astra Serif"/>
          <w:sz w:val="28"/>
          <w:szCs w:val="28"/>
          <w:lang w:eastAsia="ru-RU"/>
        </w:rPr>
        <w:t>К 20</w:t>
      </w:r>
      <w:r w:rsidR="00D62CD0" w:rsidRPr="00DC5871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A1236E" w:rsidRPr="00DC5871">
        <w:rPr>
          <w:rFonts w:ascii="PT Astra Serif" w:hAnsi="PT Astra Serif"/>
          <w:sz w:val="28"/>
          <w:szCs w:val="28"/>
          <w:lang w:eastAsia="ru-RU"/>
        </w:rPr>
        <w:t xml:space="preserve"> году планируется </w:t>
      </w:r>
      <w:r>
        <w:rPr>
          <w:rFonts w:ascii="PT Astra Serif" w:hAnsi="PT Astra Serif"/>
          <w:sz w:val="28"/>
          <w:szCs w:val="28"/>
          <w:lang w:eastAsia="ru-RU"/>
        </w:rPr>
        <w:t>доведение данного показателя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0D2D">
        <w:rPr>
          <w:rFonts w:ascii="PT Astra Serif" w:hAnsi="PT Astra Serif"/>
          <w:sz w:val="28"/>
          <w:szCs w:val="28"/>
          <w:lang w:eastAsia="ru-RU"/>
        </w:rPr>
        <w:t>до уровня</w:t>
      </w:r>
      <w:r w:rsidR="00A1236E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60</w:t>
      </w:r>
      <w:r w:rsidR="00A1236E" w:rsidRPr="00DC5871">
        <w:rPr>
          <w:rFonts w:ascii="PT Astra Serif" w:hAnsi="PT Astra Serif"/>
          <w:sz w:val="28"/>
          <w:szCs w:val="28"/>
          <w:lang w:eastAsia="ru-RU"/>
        </w:rPr>
        <w:t xml:space="preserve"> процентов.</w:t>
      </w:r>
    </w:p>
    <w:p w:rsidR="00843260" w:rsidRPr="00B314AD" w:rsidRDefault="00DA3713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B3B7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06BB7" w:rsidRPr="00DC5871" w:rsidRDefault="002A3E4A" w:rsidP="009118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районе отсутствуют здания муниципальных дошкольных  образовательных учреждений, находящихся в аварийном состоянии или требующи</w:t>
      </w:r>
      <w:r w:rsidR="007E6CE6" w:rsidRPr="00DC5871">
        <w:rPr>
          <w:rFonts w:ascii="PT Astra Serif" w:hAnsi="PT Astra Serif"/>
          <w:sz w:val="28"/>
          <w:szCs w:val="28"/>
          <w:lang w:eastAsia="ru-RU"/>
        </w:rPr>
        <w:t>х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капитального ремонта.</w:t>
      </w:r>
      <w:r w:rsidR="00616F93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1361C" w:rsidRPr="00DC5871" w:rsidRDefault="00C1361C" w:rsidP="00911873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lastRenderedPageBreak/>
        <w:t>Общее образование</w:t>
      </w:r>
    </w:p>
    <w:p w:rsidR="00242AE0" w:rsidRPr="00DC5871" w:rsidRDefault="00242AE0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DC5871">
        <w:rPr>
          <w:rFonts w:ascii="PT Astra Serif" w:hAnsi="PT Astra Serif"/>
          <w:kern w:val="28"/>
          <w:sz w:val="28"/>
          <w:szCs w:val="28"/>
        </w:rPr>
        <w:t>Развитие системы общего образования осуществляется в направлениях, обеспечивающих доступность качественного образования для всех слоев населения и достижение показателей, установленных в майских указах Президента Российской Федерации.</w:t>
      </w:r>
    </w:p>
    <w:p w:rsidR="00242AE0" w:rsidRPr="00DC5871" w:rsidRDefault="0037561F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На территории муниципального образования успешно реализуется муниципальная программа «Развитие образования в муниципальном обр</w:t>
      </w:r>
      <w:r w:rsidR="007D0871">
        <w:rPr>
          <w:rFonts w:ascii="PT Astra Serif" w:hAnsi="PT Astra Serif"/>
          <w:sz w:val="28"/>
          <w:szCs w:val="28"/>
        </w:rPr>
        <w:t>азовании Кимовский район на 2019-2024</w:t>
      </w:r>
      <w:r w:rsidRPr="00DC5871">
        <w:rPr>
          <w:rFonts w:ascii="PT Astra Serif" w:hAnsi="PT Astra Serif"/>
          <w:sz w:val="28"/>
          <w:szCs w:val="28"/>
        </w:rPr>
        <w:t xml:space="preserve"> годы», утвержденная постановлением администрации муниципального образования Кимовский район  от </w:t>
      </w:r>
      <w:r w:rsidR="007D0871">
        <w:rPr>
          <w:rFonts w:ascii="PT Astra Serif" w:hAnsi="PT Astra Serif"/>
          <w:sz w:val="28"/>
          <w:szCs w:val="28"/>
        </w:rPr>
        <w:t>12.04.2019</w:t>
      </w:r>
      <w:r w:rsidRPr="00DC5871">
        <w:rPr>
          <w:rFonts w:ascii="PT Astra Serif" w:hAnsi="PT Astra Serif"/>
          <w:sz w:val="28"/>
          <w:szCs w:val="28"/>
        </w:rPr>
        <w:t xml:space="preserve"> №</w:t>
      </w:r>
      <w:r w:rsidR="007D0871">
        <w:rPr>
          <w:rFonts w:ascii="PT Astra Serif" w:hAnsi="PT Astra Serif"/>
          <w:sz w:val="28"/>
          <w:szCs w:val="28"/>
        </w:rPr>
        <w:t xml:space="preserve"> 458</w:t>
      </w:r>
      <w:r w:rsidR="004D6C1B" w:rsidRPr="00DC5871">
        <w:rPr>
          <w:rFonts w:ascii="PT Astra Serif" w:hAnsi="PT Astra Serif"/>
          <w:sz w:val="28"/>
          <w:szCs w:val="28"/>
        </w:rPr>
        <w:t>,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</w:t>
      </w:r>
      <w:r w:rsidRPr="00DC5871">
        <w:rPr>
          <w:rFonts w:ascii="PT Astra Serif" w:hAnsi="PT Astra Serif"/>
          <w:sz w:val="28"/>
          <w:szCs w:val="28"/>
        </w:rPr>
        <w:t>.</w:t>
      </w:r>
    </w:p>
    <w:p w:rsidR="00843260" w:rsidRPr="00DC5871" w:rsidRDefault="006C54DB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(итоговой) аттестации выпускников.</w:t>
      </w:r>
    </w:p>
    <w:p w:rsidR="006C54DB" w:rsidRPr="00DC5871" w:rsidRDefault="008F1371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</w:t>
      </w:r>
      <w:r w:rsidR="00243B27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7561F" w:rsidRPr="00DC5871">
        <w:rPr>
          <w:rFonts w:ascii="PT Astra Serif" w:hAnsi="PT Astra Serif"/>
          <w:sz w:val="28"/>
          <w:szCs w:val="28"/>
          <w:lang w:eastAsia="ru-RU"/>
        </w:rPr>
        <w:t>отчетном</w:t>
      </w:r>
      <w:r w:rsidR="006C54DB" w:rsidRPr="00DC5871">
        <w:rPr>
          <w:rFonts w:ascii="PT Astra Serif" w:hAnsi="PT Astra Serif"/>
          <w:sz w:val="28"/>
          <w:szCs w:val="28"/>
          <w:lang w:eastAsia="ru-RU"/>
        </w:rPr>
        <w:t xml:space="preserve"> году доля выпускников, не получивших аттестат о среднем (полном) общем образовании, составила по </w:t>
      </w:r>
      <w:r w:rsidR="00C94AF5" w:rsidRPr="00DC5871">
        <w:rPr>
          <w:rFonts w:ascii="PT Astra Serif" w:hAnsi="PT Astra Serif"/>
          <w:sz w:val="28"/>
          <w:szCs w:val="28"/>
          <w:lang w:eastAsia="ru-RU"/>
        </w:rPr>
        <w:t>району</w:t>
      </w:r>
      <w:r w:rsidR="006C54DB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37D57">
        <w:rPr>
          <w:rFonts w:ascii="PT Astra Serif" w:hAnsi="PT Astra Serif"/>
          <w:sz w:val="28"/>
          <w:szCs w:val="28"/>
          <w:lang w:eastAsia="ru-RU"/>
        </w:rPr>
        <w:t>ноль процентов</w:t>
      </w:r>
      <w:r w:rsidR="008F7FA3" w:rsidRPr="00DC5871">
        <w:rPr>
          <w:rFonts w:ascii="PT Astra Serif" w:hAnsi="PT Astra Serif"/>
          <w:sz w:val="28"/>
          <w:szCs w:val="28"/>
          <w:lang w:eastAsia="ru-RU"/>
        </w:rPr>
        <w:t>.</w:t>
      </w:r>
    </w:p>
    <w:p w:rsidR="009A6A89" w:rsidRPr="00DC5871" w:rsidRDefault="009A6A89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Все 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>общеобразовательны</w:t>
      </w:r>
      <w:r w:rsidRPr="00DC5871">
        <w:rPr>
          <w:rFonts w:ascii="PT Astra Serif" w:hAnsi="PT Astra Serif"/>
          <w:sz w:val="28"/>
          <w:szCs w:val="28"/>
          <w:lang w:eastAsia="ru-RU"/>
        </w:rPr>
        <w:t>е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 w:rsidRPr="00DC5871">
        <w:rPr>
          <w:rFonts w:ascii="PT Astra Serif" w:hAnsi="PT Astra Serif"/>
          <w:sz w:val="28"/>
          <w:szCs w:val="28"/>
          <w:lang w:eastAsia="ru-RU"/>
        </w:rPr>
        <w:t>я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района соответствуют современным требованиям обучения</w:t>
      </w:r>
      <w:r w:rsidR="002B0A4F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02B06" w:rsidRPr="00DC5871">
        <w:rPr>
          <w:rFonts w:ascii="PT Astra Serif" w:hAnsi="PT Astra Serif"/>
          <w:sz w:val="28"/>
          <w:szCs w:val="28"/>
          <w:lang w:eastAsia="ru-RU"/>
        </w:rPr>
        <w:t>В 201</w:t>
      </w:r>
      <w:r w:rsidR="003D06F6">
        <w:rPr>
          <w:rFonts w:ascii="PT Astra Serif" w:hAnsi="PT Astra Serif"/>
          <w:sz w:val="28"/>
          <w:szCs w:val="28"/>
          <w:lang w:eastAsia="ru-RU"/>
        </w:rPr>
        <w:t>9</w:t>
      </w:r>
      <w:r w:rsidR="00A02B06" w:rsidRPr="00DC5871">
        <w:rPr>
          <w:rFonts w:ascii="PT Astra Serif" w:hAnsi="PT Astra Serif"/>
          <w:sz w:val="28"/>
          <w:szCs w:val="28"/>
          <w:lang w:eastAsia="ru-RU"/>
        </w:rPr>
        <w:t xml:space="preserve"> году отсутствуют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аварийны</w:t>
      </w:r>
      <w:r w:rsidR="00A02B06" w:rsidRPr="00DC5871">
        <w:rPr>
          <w:rFonts w:ascii="PT Astra Serif" w:hAnsi="PT Astra Serif"/>
          <w:sz w:val="28"/>
          <w:szCs w:val="28"/>
          <w:lang w:eastAsia="ru-RU"/>
        </w:rPr>
        <w:t>е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или требующи</w:t>
      </w:r>
      <w:r w:rsidR="00A02B06" w:rsidRPr="00DC5871">
        <w:rPr>
          <w:rFonts w:ascii="PT Astra Serif" w:hAnsi="PT Astra Serif"/>
          <w:sz w:val="28"/>
          <w:szCs w:val="28"/>
          <w:lang w:eastAsia="ru-RU"/>
        </w:rPr>
        <w:t>е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капитального ремонта здани</w:t>
      </w:r>
      <w:r w:rsidR="00A02B06" w:rsidRPr="00DC5871">
        <w:rPr>
          <w:rFonts w:ascii="PT Astra Serif" w:hAnsi="PT Astra Serif"/>
          <w:sz w:val="28"/>
          <w:szCs w:val="28"/>
          <w:lang w:eastAsia="ru-RU"/>
        </w:rPr>
        <w:t>я</w:t>
      </w:r>
      <w:r w:rsidR="006314E6" w:rsidRPr="00DC5871">
        <w:rPr>
          <w:rFonts w:ascii="PT Astra Serif" w:hAnsi="PT Astra Serif"/>
          <w:sz w:val="28"/>
          <w:szCs w:val="28"/>
          <w:lang w:eastAsia="ru-RU"/>
        </w:rPr>
        <w:t xml:space="preserve"> муниципальных общеобразовательных учреждений. </w:t>
      </w:r>
    </w:p>
    <w:p w:rsidR="000E04EA" w:rsidRPr="00DC5871" w:rsidRDefault="00567CAD" w:rsidP="00825039">
      <w:pPr>
        <w:spacing w:after="0" w:line="240" w:lineRule="auto"/>
        <w:ind w:firstLine="708"/>
        <w:jc w:val="both"/>
        <w:rPr>
          <w:rFonts w:ascii="PT Astra Serif" w:hAnsi="PT Astra Serif"/>
          <w:kern w:val="28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В районе </w:t>
      </w:r>
      <w:r w:rsidR="00616F93" w:rsidRPr="00DC5871">
        <w:rPr>
          <w:rFonts w:ascii="PT Astra Serif" w:hAnsi="PT Astra Serif"/>
          <w:sz w:val="28"/>
          <w:szCs w:val="28"/>
          <w:lang w:eastAsia="ru-RU"/>
        </w:rPr>
        <w:t>нет</w:t>
      </w:r>
      <w:r w:rsidR="002B0A4F" w:rsidRPr="00DC5871">
        <w:rPr>
          <w:rFonts w:ascii="PT Astra Serif" w:hAnsi="PT Astra Serif"/>
          <w:sz w:val="28"/>
          <w:szCs w:val="28"/>
          <w:lang w:eastAsia="ru-RU"/>
        </w:rPr>
        <w:t xml:space="preserve"> школ</w:t>
      </w:r>
      <w:r w:rsidR="00492B16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работа</w:t>
      </w:r>
      <w:r w:rsidR="00492B16" w:rsidRPr="00DC5871">
        <w:rPr>
          <w:rFonts w:ascii="PT Astra Serif" w:hAnsi="PT Astra Serif"/>
          <w:sz w:val="28"/>
          <w:szCs w:val="28"/>
          <w:lang w:eastAsia="ru-RU"/>
        </w:rPr>
        <w:t>ющих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в </w:t>
      </w:r>
      <w:r w:rsidR="002B0A4F" w:rsidRPr="00DC5871">
        <w:rPr>
          <w:rFonts w:ascii="PT Astra Serif" w:hAnsi="PT Astra Serif"/>
          <w:sz w:val="28"/>
          <w:szCs w:val="28"/>
          <w:lang w:eastAsia="ru-RU"/>
        </w:rPr>
        <w:t>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смен</w:t>
      </w:r>
      <w:r w:rsidR="002B0A4F" w:rsidRPr="00DC5871">
        <w:rPr>
          <w:rFonts w:ascii="PT Astra Serif" w:hAnsi="PT Astra Serif"/>
          <w:sz w:val="28"/>
          <w:szCs w:val="28"/>
          <w:lang w:eastAsia="ru-RU"/>
        </w:rPr>
        <w:t>ы</w:t>
      </w:r>
      <w:r w:rsidR="000E04EA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2B0A4F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</w:t>
      </w:r>
      <w:r w:rsidR="00510A07" w:rsidRPr="00DC5871">
        <w:rPr>
          <w:rFonts w:ascii="PT Astra Serif" w:hAnsi="PT Astra Serif"/>
          <w:kern w:val="28"/>
          <w:sz w:val="28"/>
          <w:szCs w:val="28"/>
        </w:rPr>
        <w:t>увеличи</w:t>
      </w:r>
      <w:r w:rsidR="00D24911" w:rsidRPr="00DC5871">
        <w:rPr>
          <w:rFonts w:ascii="PT Astra Serif" w:hAnsi="PT Astra Serif"/>
          <w:kern w:val="28"/>
          <w:sz w:val="28"/>
          <w:szCs w:val="28"/>
        </w:rPr>
        <w:t>л</w:t>
      </w:r>
      <w:r w:rsidR="00A71AFF" w:rsidRPr="00DC5871">
        <w:rPr>
          <w:rFonts w:ascii="PT Astra Serif" w:hAnsi="PT Astra Serif"/>
          <w:kern w:val="28"/>
          <w:sz w:val="28"/>
          <w:szCs w:val="28"/>
        </w:rPr>
        <w:t>и</w:t>
      </w:r>
      <w:r w:rsidR="00D24911" w:rsidRPr="00DC5871">
        <w:rPr>
          <w:rFonts w:ascii="PT Astra Serif" w:hAnsi="PT Astra Serif"/>
          <w:kern w:val="28"/>
          <w:sz w:val="28"/>
          <w:szCs w:val="28"/>
        </w:rPr>
        <w:t>сь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на </w:t>
      </w:r>
      <w:r w:rsidR="00F25D90">
        <w:rPr>
          <w:rFonts w:ascii="PT Astra Serif" w:hAnsi="PT Astra Serif"/>
          <w:kern w:val="28"/>
          <w:sz w:val="28"/>
          <w:szCs w:val="28"/>
        </w:rPr>
        <w:t>11,6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процент</w:t>
      </w:r>
      <w:r w:rsidR="00F25D90">
        <w:rPr>
          <w:rFonts w:ascii="PT Astra Serif" w:hAnsi="PT Astra Serif"/>
          <w:kern w:val="28"/>
          <w:sz w:val="28"/>
          <w:szCs w:val="28"/>
        </w:rPr>
        <w:t>ов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: с </w:t>
      </w:r>
      <w:r w:rsidR="003D06F6">
        <w:rPr>
          <w:rFonts w:ascii="PT Astra Serif" w:hAnsi="PT Astra Serif"/>
          <w:kern w:val="28"/>
          <w:sz w:val="28"/>
          <w:szCs w:val="28"/>
        </w:rPr>
        <w:t>18,99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A12DE1" w:rsidRPr="00DC5871">
        <w:rPr>
          <w:rFonts w:ascii="PT Astra Serif" w:hAnsi="PT Astra Serif"/>
          <w:kern w:val="28"/>
          <w:sz w:val="28"/>
          <w:szCs w:val="28"/>
        </w:rPr>
        <w:t>. р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>ублей в 201</w:t>
      </w:r>
      <w:r w:rsidR="003D06F6">
        <w:rPr>
          <w:rFonts w:ascii="PT Astra Serif" w:hAnsi="PT Astra Serif"/>
          <w:kern w:val="28"/>
          <w:sz w:val="28"/>
          <w:szCs w:val="28"/>
        </w:rPr>
        <w:t>8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году до </w:t>
      </w:r>
      <w:r w:rsidR="003D06F6">
        <w:rPr>
          <w:rFonts w:ascii="PT Astra Serif" w:hAnsi="PT Astra Serif"/>
          <w:kern w:val="28"/>
          <w:sz w:val="28"/>
          <w:szCs w:val="28"/>
        </w:rPr>
        <w:t>21,2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A12DE1" w:rsidRPr="00DC5871">
        <w:rPr>
          <w:rFonts w:ascii="PT Astra Serif" w:hAnsi="PT Astra Serif"/>
          <w:kern w:val="28"/>
          <w:sz w:val="28"/>
          <w:szCs w:val="28"/>
        </w:rPr>
        <w:t>. р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>ублей в отчетном году</w:t>
      </w:r>
      <w:r w:rsidR="00F42EB7" w:rsidRPr="00DC5871">
        <w:rPr>
          <w:rFonts w:ascii="PT Astra Serif" w:hAnsi="PT Astra Serif"/>
          <w:kern w:val="28"/>
          <w:sz w:val="28"/>
          <w:szCs w:val="28"/>
        </w:rPr>
        <w:t>.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К 20</w:t>
      </w:r>
      <w:r w:rsidR="003D06F6">
        <w:rPr>
          <w:rFonts w:ascii="PT Astra Serif" w:hAnsi="PT Astra Serif"/>
          <w:kern w:val="28"/>
          <w:sz w:val="28"/>
          <w:szCs w:val="28"/>
        </w:rPr>
        <w:t>22</w:t>
      </w:r>
      <w:r w:rsidR="000E04EA" w:rsidRPr="00DC5871">
        <w:rPr>
          <w:rFonts w:ascii="PT Astra Serif" w:hAnsi="PT Astra Serif"/>
          <w:kern w:val="28"/>
          <w:sz w:val="28"/>
          <w:szCs w:val="28"/>
        </w:rPr>
        <w:t xml:space="preserve"> году </w:t>
      </w:r>
      <w:r w:rsidR="00723565" w:rsidRPr="00DC5871">
        <w:rPr>
          <w:rFonts w:ascii="PT Astra Serif" w:hAnsi="PT Astra Serif"/>
          <w:kern w:val="28"/>
          <w:sz w:val="28"/>
          <w:szCs w:val="28"/>
        </w:rPr>
        <w:t xml:space="preserve">эта сумма </w:t>
      </w:r>
      <w:r w:rsidR="00D24911" w:rsidRPr="00DC5871">
        <w:rPr>
          <w:rFonts w:ascii="PT Astra Serif" w:hAnsi="PT Astra Serif"/>
          <w:kern w:val="28"/>
          <w:sz w:val="28"/>
          <w:szCs w:val="28"/>
        </w:rPr>
        <w:t xml:space="preserve">составит </w:t>
      </w:r>
      <w:r w:rsidR="003D06F6">
        <w:rPr>
          <w:rFonts w:ascii="PT Astra Serif" w:hAnsi="PT Astra Serif"/>
          <w:kern w:val="28"/>
          <w:sz w:val="28"/>
          <w:szCs w:val="28"/>
        </w:rPr>
        <w:t>21,5</w:t>
      </w:r>
      <w:r w:rsidR="00D24911" w:rsidRPr="00DC5871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723565" w:rsidRPr="00DC5871">
        <w:rPr>
          <w:rFonts w:ascii="PT Astra Serif" w:hAnsi="PT Astra Serif"/>
          <w:kern w:val="28"/>
          <w:sz w:val="28"/>
          <w:szCs w:val="28"/>
        </w:rPr>
        <w:t>.</w:t>
      </w:r>
      <w:r w:rsidR="00D24911" w:rsidRPr="00DC5871">
        <w:rPr>
          <w:rFonts w:ascii="PT Astra Serif" w:hAnsi="PT Astra Serif"/>
          <w:kern w:val="28"/>
          <w:sz w:val="28"/>
          <w:szCs w:val="28"/>
        </w:rPr>
        <w:t xml:space="preserve"> рублей.</w:t>
      </w:r>
    </w:p>
    <w:p w:rsidR="00D975FD" w:rsidRPr="00DC5871" w:rsidRDefault="00D975FD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Реализация комплекса мер по модернизации системы общего образования позволила</w:t>
      </w:r>
      <w:r w:rsidRPr="00DC5871">
        <w:rPr>
          <w:rFonts w:ascii="PT Astra Serif" w:hAnsi="PT Astra Serif"/>
          <w:i/>
          <w:sz w:val="28"/>
          <w:szCs w:val="28"/>
        </w:rPr>
        <w:t xml:space="preserve"> </w:t>
      </w:r>
      <w:r w:rsidRPr="00DC5871">
        <w:rPr>
          <w:rFonts w:ascii="PT Astra Serif" w:hAnsi="PT Astra Serif"/>
          <w:sz w:val="28"/>
          <w:szCs w:val="28"/>
        </w:rPr>
        <w:t xml:space="preserve">кардинально обновить школьную инфраструктуру, создать условия для внедрения современных образовательных технологий не только в городских, но и в сельских школах. </w:t>
      </w:r>
    </w:p>
    <w:p w:rsidR="004D6C1B" w:rsidRPr="00DC5871" w:rsidRDefault="00F078E3" w:rsidP="0082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DC5871">
        <w:rPr>
          <w:rFonts w:ascii="PT Astra Serif" w:hAnsi="PT Astra Serif"/>
          <w:noProof/>
          <w:sz w:val="28"/>
          <w:szCs w:val="28"/>
        </w:rPr>
        <w:t xml:space="preserve">100 % учащихся школ на 1 сентября обеспечены учебниками. </w:t>
      </w:r>
      <w:r w:rsidR="004D6C1B" w:rsidRPr="00DC5871">
        <w:rPr>
          <w:rFonts w:ascii="PT Astra Serif" w:hAnsi="PT Astra Serif"/>
          <w:kern w:val="28"/>
          <w:sz w:val="28"/>
          <w:szCs w:val="28"/>
        </w:rPr>
        <w:t>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местности.</w:t>
      </w:r>
    </w:p>
    <w:p w:rsidR="00C1361C" w:rsidRPr="00DC5871" w:rsidRDefault="00EB38E0" w:rsidP="00825039">
      <w:pPr>
        <w:pStyle w:val="a6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Школьным транспортом (9</w:t>
      </w:r>
      <w:r w:rsidR="00F078E3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 единиц) осуществляется подвоз </w:t>
      </w:r>
      <w:r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223 </w:t>
      </w:r>
      <w:r w:rsidR="00F078E3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учащихся из </w:t>
      </w:r>
      <w:r w:rsidR="00CB37A6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3</w:t>
      </w:r>
      <w:r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5</w:t>
      </w:r>
      <w:r w:rsidR="007D241D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 </w:t>
      </w:r>
      <w:r w:rsidR="00F078E3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населенных пунктов.</w:t>
      </w:r>
      <w:r w:rsidR="00616F93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 </w:t>
      </w:r>
      <w:r w:rsidR="00C1361C" w:rsidRPr="00BB23C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Все</w:t>
      </w:r>
      <w:r w:rsidR="00C1361C" w:rsidRPr="00DC5871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 xml:space="preserve"> общеобразовательные</w:t>
      </w:r>
      <w:r w:rsidR="00C1361C" w:rsidRPr="00DC5871">
        <w:rPr>
          <w:rFonts w:ascii="PT Astra Serif" w:hAnsi="PT Astra Serif" w:cs="Times New Roman"/>
          <w:sz w:val="28"/>
          <w:szCs w:val="28"/>
        </w:rPr>
        <w:t xml:space="preserve"> учреждения района подключены к сети Интернет. Свои сайты имеют все школы, сады.</w:t>
      </w:r>
      <w:r w:rsidR="00C1361C" w:rsidRPr="00DC5871">
        <w:rPr>
          <w:rFonts w:ascii="PT Astra Serif" w:hAnsi="PT Astra Serif" w:cs="Times New Roman"/>
          <w:sz w:val="24"/>
          <w:szCs w:val="24"/>
        </w:rPr>
        <w:t xml:space="preserve"> </w:t>
      </w:r>
    </w:p>
    <w:p w:rsidR="00CD7445" w:rsidRPr="00DC5871" w:rsidRDefault="004D6C1B" w:rsidP="00825039">
      <w:pPr>
        <w:pStyle w:val="a6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C5871">
        <w:rPr>
          <w:rFonts w:ascii="PT Astra Serif" w:eastAsia="Times New Roman" w:hAnsi="PT Astra Serif"/>
          <w:sz w:val="28"/>
          <w:szCs w:val="28"/>
        </w:rPr>
        <w:t>Вложение значительных финансовых средств в развитие инфраструктуры общеобразовательных учреждений и оснащение образовательного процесса в рамках реализации федеральных, региональных и муниципальных проектов и программ, способствовали улучшению условий для обучения в соответствии с требованиями федеральных государственных образовательных стандартов. В 201</w:t>
      </w:r>
      <w:r w:rsidR="00072E94">
        <w:rPr>
          <w:rFonts w:ascii="PT Astra Serif" w:eastAsia="Times New Roman" w:hAnsi="PT Astra Serif"/>
          <w:sz w:val="28"/>
          <w:szCs w:val="28"/>
        </w:rPr>
        <w:t>9</w:t>
      </w:r>
      <w:r w:rsidRPr="00DC5871">
        <w:rPr>
          <w:rFonts w:ascii="PT Astra Serif" w:eastAsia="Times New Roman" w:hAnsi="PT Astra Serif"/>
          <w:sz w:val="28"/>
          <w:szCs w:val="28"/>
        </w:rPr>
        <w:t xml:space="preserve"> году 100 % общеобразовательных учреждений отвечают предъявляемым </w:t>
      </w:r>
      <w:r w:rsidRPr="00DC5871">
        <w:rPr>
          <w:rFonts w:ascii="PT Astra Serif" w:eastAsia="Times New Roman" w:hAnsi="PT Astra Serif"/>
          <w:sz w:val="28"/>
          <w:szCs w:val="28"/>
        </w:rPr>
        <w:lastRenderedPageBreak/>
        <w:t>требованиям.</w:t>
      </w:r>
      <w:r w:rsidR="008F54A3" w:rsidRPr="00DC5871">
        <w:rPr>
          <w:rFonts w:ascii="PT Astra Serif" w:eastAsia="Times New Roman" w:hAnsi="PT Astra Serif"/>
          <w:sz w:val="28"/>
          <w:szCs w:val="28"/>
        </w:rPr>
        <w:t xml:space="preserve"> </w:t>
      </w:r>
      <w:r w:rsidR="00CD7445" w:rsidRPr="00DC5871">
        <w:rPr>
          <w:rFonts w:ascii="PT Astra Serif" w:eastAsia="Times New Roman" w:hAnsi="PT Astra Serif"/>
          <w:sz w:val="28"/>
          <w:szCs w:val="28"/>
        </w:rPr>
        <w:t>Все школьники в муниципальном образовании обучаются в одну смену.</w:t>
      </w:r>
    </w:p>
    <w:p w:rsidR="008F54A3" w:rsidRPr="00DC5871" w:rsidRDefault="008F54A3" w:rsidP="0082503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в 201</w:t>
      </w:r>
      <w:r w:rsidR="00072E94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</w:t>
      </w:r>
      <w:r w:rsidR="009A6CBD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составила </w:t>
      </w:r>
      <w:r w:rsidR="00072E94">
        <w:rPr>
          <w:rFonts w:ascii="PT Astra Serif" w:eastAsia="Times New Roman" w:hAnsi="PT Astra Serif"/>
          <w:sz w:val="28"/>
          <w:szCs w:val="28"/>
          <w:lang w:eastAsia="ru-RU"/>
        </w:rPr>
        <w:t>90</w:t>
      </w:r>
      <w:r w:rsidR="00850F3C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процентов, к 20</w:t>
      </w:r>
      <w:r w:rsidR="009A6CBD" w:rsidRPr="00DC587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72E94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850F3C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го</w:t>
      </w:r>
      <w:r w:rsidR="009A6CBD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ду данный показатель </w:t>
      </w:r>
      <w:r w:rsidR="00072E94">
        <w:rPr>
          <w:rFonts w:ascii="PT Astra Serif" w:eastAsia="Times New Roman" w:hAnsi="PT Astra Serif"/>
          <w:sz w:val="28"/>
          <w:szCs w:val="28"/>
          <w:lang w:eastAsia="ru-RU"/>
        </w:rPr>
        <w:t xml:space="preserve">также </w:t>
      </w:r>
      <w:r w:rsidR="009A6CBD" w:rsidRPr="00DC5871">
        <w:rPr>
          <w:rFonts w:ascii="PT Astra Serif" w:eastAsia="Times New Roman" w:hAnsi="PT Astra Serif"/>
          <w:sz w:val="28"/>
          <w:szCs w:val="28"/>
          <w:lang w:eastAsia="ru-RU"/>
        </w:rPr>
        <w:t>составит 90</w:t>
      </w:r>
      <w:r w:rsidR="00850F3C"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процентов. </w:t>
      </w:r>
    </w:p>
    <w:p w:rsidR="00F078E3" w:rsidRPr="00DC5871" w:rsidRDefault="00F078E3" w:rsidP="00825039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Все эти меры направлены на создание условий для повышения качества образования.</w:t>
      </w:r>
    </w:p>
    <w:p w:rsidR="000E04EA" w:rsidRDefault="00B76AA2" w:rsidP="0082503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u w:val="single"/>
          <w:lang w:eastAsia="ru-RU"/>
        </w:rPr>
        <w:t>Культура</w:t>
      </w:r>
    </w:p>
    <w:p w:rsidR="002038B8" w:rsidRPr="007F5155" w:rsidRDefault="002038B8" w:rsidP="002038B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5155">
        <w:rPr>
          <w:rFonts w:ascii="PT Astra Serif" w:eastAsia="Times New Roman" w:hAnsi="PT Astra Serif"/>
          <w:sz w:val="28"/>
          <w:szCs w:val="28"/>
          <w:lang w:eastAsia="ru-RU"/>
        </w:rPr>
        <w:t xml:space="preserve">Заметным событием культурной жизни района стал 140-летний юбилей Епифанской </w:t>
      </w:r>
      <w:r w:rsidR="00EC11FA" w:rsidRPr="007F5155">
        <w:rPr>
          <w:rFonts w:ascii="PT Astra Serif" w:eastAsia="Times New Roman" w:hAnsi="PT Astra Serif"/>
          <w:sz w:val="28"/>
          <w:szCs w:val="28"/>
          <w:lang w:eastAsia="ru-RU"/>
        </w:rPr>
        <w:t>библиотеки</w:t>
      </w:r>
      <w:r w:rsidRPr="007F5155">
        <w:rPr>
          <w:rFonts w:ascii="PT Astra Serif" w:eastAsia="Times New Roman" w:hAnsi="PT Astra Serif"/>
          <w:sz w:val="28"/>
          <w:szCs w:val="28"/>
          <w:lang w:eastAsia="ru-RU"/>
        </w:rPr>
        <w:t xml:space="preserve"> – одной из старейших в Тульской области. Основанная в 1879 году   прошлого столетия, Епифанская библиотека прошла сложный, славный путь и на протяжении всей своей истории была и остаётся   культурно - просветительским   центром, любимым местом епифанцев, центром притяжения всех, кто любит чтение, ценит образованность, интеллектуальное общение.</w:t>
      </w:r>
    </w:p>
    <w:p w:rsidR="002038B8" w:rsidRPr="007F5155" w:rsidRDefault="002038B8" w:rsidP="002038B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5155">
        <w:rPr>
          <w:rFonts w:ascii="PT Astra Serif" w:eastAsia="Times New Roman" w:hAnsi="PT Astra Serif"/>
          <w:sz w:val="28"/>
          <w:szCs w:val="28"/>
          <w:lang w:eastAsia="ru-RU"/>
        </w:rPr>
        <w:t xml:space="preserve">В Кимовском районе успешно работают 3 учреждения культуры, которые включают в себя 17 клубов и ДК и 1 учреждение дополнительного образования детей – Кимовская детская школа искусств. </w:t>
      </w:r>
    </w:p>
    <w:p w:rsidR="002038B8" w:rsidRPr="007F5155" w:rsidRDefault="002038B8" w:rsidP="002038B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5155">
        <w:rPr>
          <w:rFonts w:ascii="PT Astra Serif" w:eastAsia="Times New Roman" w:hAnsi="PT Astra Serif"/>
          <w:sz w:val="28"/>
          <w:szCs w:val="28"/>
          <w:lang w:eastAsia="ru-RU"/>
        </w:rPr>
        <w:t>На базе учреждений культуры действует 120 клубных формирований различной направленности, участниками которых являются около 1327 человек.</w:t>
      </w:r>
    </w:p>
    <w:p w:rsidR="002038B8" w:rsidRPr="002038B8" w:rsidRDefault="002038B8" w:rsidP="002038B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5155">
        <w:rPr>
          <w:rFonts w:ascii="PT Astra Serif" w:eastAsia="Times New Roman" w:hAnsi="PT Astra Serif"/>
          <w:sz w:val="28"/>
          <w:szCs w:val="28"/>
          <w:lang w:eastAsia="ru-RU"/>
        </w:rPr>
        <w:t>24 мая 2019г. состоялось торжественное открытие построенного сельского ДК в п. Пронь. он стал вторым новым объектом культуры за последние несколько десятилетий.</w:t>
      </w:r>
    </w:p>
    <w:p w:rsidR="00B76AA2" w:rsidRPr="00DC5871" w:rsidRDefault="00B76AA2" w:rsidP="0082503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Уров</w:t>
      </w:r>
      <w:r w:rsidR="00FC19F2" w:rsidRPr="00DC5871">
        <w:rPr>
          <w:rFonts w:ascii="PT Astra Serif" w:hAnsi="PT Astra Serif"/>
          <w:sz w:val="28"/>
          <w:szCs w:val="28"/>
          <w:lang w:eastAsia="ru-RU"/>
        </w:rPr>
        <w:t>ни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фактической обеспеченности населения учреждениями культуры от нормативной потребности в районе </w:t>
      </w:r>
      <w:r w:rsidR="00F26160">
        <w:rPr>
          <w:rFonts w:ascii="PT Astra Serif" w:hAnsi="PT Astra Serif"/>
          <w:sz w:val="28"/>
          <w:szCs w:val="28"/>
          <w:lang w:eastAsia="ru-RU"/>
        </w:rPr>
        <w:t>за 2019</w:t>
      </w:r>
      <w:r w:rsidR="007B1F5A" w:rsidRPr="00DC5871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FF04DB" w:rsidRPr="00DC5871">
        <w:rPr>
          <w:rFonts w:ascii="PT Astra Serif" w:hAnsi="PT Astra Serif"/>
          <w:sz w:val="28"/>
          <w:szCs w:val="28"/>
          <w:lang w:eastAsia="ru-RU"/>
        </w:rPr>
        <w:t xml:space="preserve"> составили</w:t>
      </w:r>
      <w:r w:rsidR="009A6CBD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26160">
        <w:rPr>
          <w:rFonts w:ascii="PT Astra Serif" w:hAnsi="PT Astra Serif"/>
          <w:sz w:val="28"/>
          <w:szCs w:val="28"/>
          <w:lang w:eastAsia="ru-RU"/>
        </w:rPr>
        <w:t>78,6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 - клубами и учреждениями клубного </w:t>
      </w:r>
      <w:r w:rsidR="00055BBC" w:rsidRPr="00DC5871">
        <w:rPr>
          <w:rFonts w:ascii="PT Astra Serif" w:hAnsi="PT Astra Serif"/>
          <w:sz w:val="28"/>
          <w:szCs w:val="28"/>
          <w:lang w:eastAsia="ru-RU"/>
        </w:rPr>
        <w:t>типа</w:t>
      </w:r>
      <w:r w:rsidR="003223B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55BBC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9A6CBD" w:rsidRPr="00DC5871">
        <w:rPr>
          <w:rFonts w:ascii="PT Astra Serif" w:hAnsi="PT Astra Serif"/>
          <w:sz w:val="28"/>
          <w:szCs w:val="28"/>
          <w:lang w:eastAsia="ru-RU"/>
        </w:rPr>
        <w:t>70,2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 - библиотеками.</w:t>
      </w:r>
      <w:r w:rsidR="002A4605" w:rsidRPr="00DC5871">
        <w:rPr>
          <w:rFonts w:ascii="PT Astra Serif" w:hAnsi="PT Astra Serif"/>
          <w:sz w:val="28"/>
          <w:szCs w:val="28"/>
          <w:lang w:eastAsia="ru-RU"/>
        </w:rPr>
        <w:t xml:space="preserve"> У</w:t>
      </w:r>
      <w:r w:rsidR="002A4605" w:rsidRPr="00DC5871">
        <w:rPr>
          <w:rFonts w:ascii="PT Astra Serif" w:eastAsia="Times New Roman" w:hAnsi="PT Astra Serif"/>
          <w:sz w:val="28"/>
          <w:szCs w:val="28"/>
          <w:lang w:eastAsia="ru-RU"/>
        </w:rPr>
        <w:t>слуги</w:t>
      </w:r>
      <w:r w:rsidR="002A4605" w:rsidRPr="00DC5871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="002A4605" w:rsidRPr="00DC5871">
        <w:rPr>
          <w:rFonts w:ascii="PT Astra Serif" w:eastAsia="Times New Roman" w:hAnsi="PT Astra Serif"/>
          <w:sz w:val="28"/>
          <w:szCs w:val="28"/>
          <w:lang w:eastAsia="ru-RU"/>
        </w:rPr>
        <w:t>жителям малых населенных пунктов предоставляются передвижным центром культуры и библиотечного обслуживания.</w:t>
      </w:r>
      <w:r w:rsidR="003223B3">
        <w:rPr>
          <w:rFonts w:ascii="PT Astra Serif" w:eastAsia="Times New Roman" w:hAnsi="PT Astra Serif"/>
          <w:sz w:val="28"/>
          <w:szCs w:val="28"/>
          <w:lang w:eastAsia="ru-RU"/>
        </w:rPr>
        <w:t xml:space="preserve"> Снижение </w:t>
      </w:r>
      <w:r w:rsidR="003223B3" w:rsidRPr="003223B3">
        <w:rPr>
          <w:rFonts w:ascii="PT Astra Serif" w:eastAsia="Times New Roman" w:hAnsi="PT Astra Serif"/>
          <w:sz w:val="28"/>
          <w:szCs w:val="28"/>
          <w:lang w:eastAsia="ru-RU"/>
        </w:rPr>
        <w:t xml:space="preserve">обеспеченности населения клубами и учреждениями клубного типа от нормативной потребности в районе за 2019 год </w:t>
      </w:r>
      <w:r w:rsidR="003223B3">
        <w:rPr>
          <w:rFonts w:ascii="PT Astra Serif" w:eastAsia="Times New Roman" w:hAnsi="PT Astra Serif"/>
          <w:sz w:val="28"/>
          <w:szCs w:val="28"/>
          <w:lang w:eastAsia="ru-RU"/>
        </w:rPr>
        <w:t>обусловлено закрытием клубов в муниципальном образовании Новольвовское Кимовского района.</w:t>
      </w:r>
    </w:p>
    <w:p w:rsidR="00C15FBD" w:rsidRPr="00DC5871" w:rsidRDefault="00C15FBD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Проведена работа по передаче полномочий по организации библиотечного обслуживания населения сельских поселений на районный уровень путем создания единых библиотечных систем. Объединение библиотек в единую систему позволило увеличить информационные ресурсы библиотек, особенно сельских, за счет внутрисистемного книгообмена и компьютеризации библиотечных процессов.</w:t>
      </w:r>
    </w:p>
    <w:p w:rsidR="00AF69E5" w:rsidRPr="00B314AD" w:rsidRDefault="00292840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034A2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6AA2" w:rsidRPr="00DC5871" w:rsidRDefault="00B76AA2" w:rsidP="00911873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u w:val="single"/>
          <w:lang w:eastAsia="ru-RU"/>
        </w:rPr>
        <w:t>Физическая культура и спорт</w:t>
      </w:r>
    </w:p>
    <w:p w:rsidR="004F09C4" w:rsidRPr="00D950D1" w:rsidRDefault="004F09C4" w:rsidP="004F09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950D1">
        <w:rPr>
          <w:rFonts w:ascii="PT Astra Serif" w:hAnsi="PT Astra Serif"/>
          <w:sz w:val="28"/>
          <w:szCs w:val="28"/>
          <w:lang w:eastAsia="ru-RU"/>
        </w:rPr>
        <w:t xml:space="preserve">Неотъемлемой частью сохранения здоровья, долголетия является занятие физкультурой и спортом. И для этого в районе есть </w:t>
      </w:r>
      <w:r w:rsidR="007F5155" w:rsidRPr="00D950D1">
        <w:rPr>
          <w:rFonts w:ascii="PT Astra Serif" w:hAnsi="PT Astra Serif"/>
          <w:sz w:val="28"/>
          <w:szCs w:val="28"/>
          <w:lang w:eastAsia="ru-RU"/>
        </w:rPr>
        <w:t xml:space="preserve">соответствующая </w:t>
      </w:r>
      <w:r w:rsidRPr="00D950D1">
        <w:rPr>
          <w:rFonts w:ascii="PT Astra Serif" w:hAnsi="PT Astra Serif"/>
          <w:sz w:val="28"/>
          <w:szCs w:val="28"/>
          <w:lang w:eastAsia="ru-RU"/>
        </w:rPr>
        <w:t xml:space="preserve">инфраструктура:  18 спортивных залов в школах, физкультурно-оздоровительный комплекс им. А.А. Новикова,  «Стадион», детско-юношеская школа и спортивный центр «Богатырь» в пос. Епифань, плоскостные сооружения. В </w:t>
      </w:r>
      <w:r w:rsidR="007F5155" w:rsidRPr="00D950D1">
        <w:rPr>
          <w:rFonts w:ascii="PT Astra Serif" w:hAnsi="PT Astra Serif"/>
          <w:sz w:val="28"/>
          <w:szCs w:val="28"/>
          <w:lang w:eastAsia="ru-RU"/>
        </w:rPr>
        <w:t>2019</w:t>
      </w:r>
      <w:r w:rsidRPr="00D950D1">
        <w:rPr>
          <w:rFonts w:ascii="PT Astra Serif" w:hAnsi="PT Astra Serif"/>
          <w:sz w:val="28"/>
          <w:szCs w:val="28"/>
          <w:lang w:eastAsia="ru-RU"/>
        </w:rPr>
        <w:t xml:space="preserve"> году спортивные объекты пополнились универсальной спортивной площадкой в Епифани и в п</w:t>
      </w:r>
      <w:r w:rsidR="00EC11FA" w:rsidRPr="00D950D1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spellStart"/>
      <w:r w:rsidR="00EC11FA" w:rsidRPr="00D950D1">
        <w:rPr>
          <w:rFonts w:ascii="PT Astra Serif" w:hAnsi="PT Astra Serif"/>
          <w:sz w:val="28"/>
          <w:szCs w:val="28"/>
          <w:lang w:eastAsia="ru-RU"/>
        </w:rPr>
        <w:t>П</w:t>
      </w:r>
      <w:r w:rsidRPr="00D950D1">
        <w:rPr>
          <w:rFonts w:ascii="PT Astra Serif" w:hAnsi="PT Astra Serif"/>
          <w:sz w:val="28"/>
          <w:szCs w:val="28"/>
          <w:lang w:eastAsia="ru-RU"/>
        </w:rPr>
        <w:t>ронь</w:t>
      </w:r>
      <w:proofErr w:type="spellEnd"/>
      <w:r w:rsidRPr="00D950D1">
        <w:rPr>
          <w:rFonts w:ascii="PT Astra Serif" w:hAnsi="PT Astra Serif"/>
          <w:sz w:val="28"/>
          <w:szCs w:val="28"/>
          <w:lang w:eastAsia="ru-RU"/>
        </w:rPr>
        <w:t>. Вся инфраструктура является доступной для жителей района, в том числе молодежи, подростков и лиц с ограниченными возможностями.</w:t>
      </w:r>
    </w:p>
    <w:p w:rsidR="004F09C4" w:rsidRDefault="004F09C4" w:rsidP="004F09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950D1">
        <w:rPr>
          <w:rFonts w:ascii="PT Astra Serif" w:hAnsi="PT Astra Serif"/>
          <w:sz w:val="28"/>
          <w:szCs w:val="28"/>
          <w:lang w:eastAsia="ru-RU"/>
        </w:rPr>
        <w:t>За год проведено более 70 спортивно-массовых мероприятий.</w:t>
      </w:r>
    </w:p>
    <w:p w:rsidR="00B76AA2" w:rsidRPr="00DC5871" w:rsidRDefault="00B76AA2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Доля населения</w:t>
      </w:r>
      <w:r w:rsidR="003C4DC6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систематически занимающегося физической культурой и спортом</w:t>
      </w:r>
      <w:r w:rsidR="003C4DC6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составила в 201</w:t>
      </w:r>
      <w:r w:rsidR="000F7E80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0F7E80">
        <w:rPr>
          <w:rFonts w:ascii="PT Astra Serif" w:hAnsi="PT Astra Serif"/>
          <w:sz w:val="28"/>
          <w:szCs w:val="28"/>
          <w:lang w:eastAsia="ru-RU"/>
        </w:rPr>
        <w:t>39,5</w:t>
      </w:r>
      <w:r w:rsidRPr="00DC5871">
        <w:rPr>
          <w:rFonts w:ascii="PT Astra Serif" w:hAnsi="PT Astra Serif"/>
          <w:sz w:val="28"/>
          <w:szCs w:val="28"/>
          <w:lang w:eastAsia="ru-RU"/>
        </w:rPr>
        <w:t>%</w:t>
      </w:r>
      <w:r w:rsidR="00B714AA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(в 201</w:t>
      </w:r>
      <w:r w:rsidR="000F7E80">
        <w:rPr>
          <w:rFonts w:ascii="PT Astra Serif" w:hAnsi="PT Astra Serif"/>
          <w:sz w:val="28"/>
          <w:szCs w:val="28"/>
          <w:lang w:eastAsia="ru-RU"/>
        </w:rPr>
        <w:t>8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0F7E80">
        <w:rPr>
          <w:rFonts w:ascii="PT Astra Serif" w:hAnsi="PT Astra Serif"/>
          <w:sz w:val="28"/>
          <w:szCs w:val="28"/>
          <w:lang w:eastAsia="ru-RU"/>
        </w:rPr>
        <w:t>38,6</w:t>
      </w:r>
      <w:r w:rsidR="00692F18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%).</w:t>
      </w:r>
      <w:r w:rsidR="00D032A5" w:rsidRPr="00DC5871">
        <w:rPr>
          <w:rFonts w:ascii="PT Astra Serif" w:hAnsi="PT Astra Serif"/>
          <w:sz w:val="28"/>
          <w:szCs w:val="28"/>
          <w:lang w:eastAsia="ru-RU"/>
        </w:rPr>
        <w:t xml:space="preserve"> К 20</w:t>
      </w:r>
      <w:r w:rsidR="000F7E80">
        <w:rPr>
          <w:rFonts w:ascii="PT Astra Serif" w:hAnsi="PT Astra Serif"/>
          <w:sz w:val="28"/>
          <w:szCs w:val="28"/>
          <w:lang w:eastAsia="ru-RU"/>
        </w:rPr>
        <w:t>22</w:t>
      </w:r>
      <w:r w:rsidR="00D032A5" w:rsidRPr="00DC5871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довести до уровня </w:t>
      </w:r>
      <w:r w:rsidR="000F7E80">
        <w:rPr>
          <w:rFonts w:ascii="PT Astra Serif" w:hAnsi="PT Astra Serif"/>
          <w:sz w:val="28"/>
          <w:szCs w:val="28"/>
          <w:lang w:eastAsia="ru-RU"/>
        </w:rPr>
        <w:t>40,3</w:t>
      </w:r>
      <w:r w:rsidR="00FC2521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32A5" w:rsidRPr="00DC5871">
        <w:rPr>
          <w:rFonts w:ascii="PT Astra Serif" w:hAnsi="PT Astra Serif"/>
          <w:sz w:val="28"/>
          <w:szCs w:val="28"/>
          <w:lang w:eastAsia="ru-RU"/>
        </w:rPr>
        <w:t>процентов.</w:t>
      </w:r>
    </w:p>
    <w:p w:rsidR="001F72F7" w:rsidRPr="00B314AD" w:rsidRDefault="001F72F7" w:rsidP="00825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1F72F7" w:rsidRPr="00B314AD" w:rsidRDefault="001F72F7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C618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5715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C3141" w:rsidRPr="00B314AD" w:rsidRDefault="000C3141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C2521" w:rsidRPr="00DC5871" w:rsidRDefault="00FC2521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Доля обучающихся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систематически занимающихся физ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>и</w:t>
      </w:r>
      <w:r w:rsidRPr="00DC5871">
        <w:rPr>
          <w:rFonts w:ascii="PT Astra Serif" w:hAnsi="PT Astra Serif"/>
          <w:sz w:val="28"/>
          <w:szCs w:val="28"/>
          <w:lang w:eastAsia="ru-RU"/>
        </w:rPr>
        <w:t>ческой культурой</w:t>
      </w:r>
      <w:r w:rsidR="003C4DC6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в 201</w:t>
      </w:r>
      <w:r w:rsidR="000F7E80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составила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F7E80">
        <w:rPr>
          <w:rFonts w:ascii="PT Astra Serif" w:hAnsi="PT Astra Serif"/>
          <w:sz w:val="28"/>
          <w:szCs w:val="28"/>
          <w:lang w:eastAsia="ru-RU"/>
        </w:rPr>
        <w:t>89,9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13E2">
        <w:rPr>
          <w:rFonts w:ascii="PT Astra Serif" w:hAnsi="PT Astra Serif"/>
          <w:sz w:val="28"/>
          <w:szCs w:val="28"/>
          <w:lang w:eastAsia="ru-RU"/>
        </w:rPr>
        <w:t>%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и увеличилась по сравнению с 201</w:t>
      </w:r>
      <w:r w:rsidR="000F7E80">
        <w:rPr>
          <w:rFonts w:ascii="PT Astra Serif" w:hAnsi="PT Astra Serif"/>
          <w:sz w:val="28"/>
          <w:szCs w:val="28"/>
          <w:lang w:eastAsia="ru-RU"/>
        </w:rPr>
        <w:t>8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годом на</w:t>
      </w:r>
      <w:r w:rsidR="000F7E80">
        <w:rPr>
          <w:rFonts w:ascii="PT Astra Serif" w:hAnsi="PT Astra Serif"/>
          <w:sz w:val="28"/>
          <w:szCs w:val="28"/>
          <w:lang w:eastAsia="ru-RU"/>
        </w:rPr>
        <w:t xml:space="preserve"> 0,2 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>процент</w:t>
      </w:r>
      <w:r w:rsidR="00DC6181" w:rsidRPr="00DC5871">
        <w:rPr>
          <w:rFonts w:ascii="PT Astra Serif" w:hAnsi="PT Astra Serif"/>
          <w:sz w:val="28"/>
          <w:szCs w:val="28"/>
          <w:lang w:eastAsia="ru-RU"/>
        </w:rPr>
        <w:t>ных пункта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(201</w:t>
      </w:r>
      <w:r w:rsidR="000F7E80">
        <w:rPr>
          <w:rFonts w:ascii="PT Astra Serif" w:hAnsi="PT Astra Serif"/>
          <w:sz w:val="28"/>
          <w:szCs w:val="28"/>
          <w:lang w:eastAsia="ru-RU"/>
        </w:rPr>
        <w:t>8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г. – </w:t>
      </w:r>
      <w:r w:rsidR="000F7E80">
        <w:rPr>
          <w:rFonts w:ascii="PT Astra Serif" w:hAnsi="PT Astra Serif"/>
          <w:sz w:val="28"/>
          <w:szCs w:val="28"/>
          <w:lang w:eastAsia="ru-RU"/>
        </w:rPr>
        <w:t>89,7</w:t>
      </w:r>
      <w:r w:rsidR="00734579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>%). К 20</w:t>
      </w:r>
      <w:r w:rsidR="00D813E2">
        <w:rPr>
          <w:rFonts w:ascii="PT Astra Serif" w:hAnsi="PT Astra Serif"/>
          <w:sz w:val="28"/>
          <w:szCs w:val="28"/>
          <w:lang w:eastAsia="ru-RU"/>
        </w:rPr>
        <w:t>22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году данный по</w:t>
      </w:r>
      <w:r w:rsidR="009A6CBD" w:rsidRPr="00DC5871">
        <w:rPr>
          <w:rFonts w:ascii="PT Astra Serif" w:hAnsi="PT Astra Serif"/>
          <w:sz w:val="28"/>
          <w:szCs w:val="28"/>
          <w:lang w:eastAsia="ru-RU"/>
        </w:rPr>
        <w:t xml:space="preserve">казатель планируется на уровне </w:t>
      </w:r>
      <w:r w:rsidR="00D813E2">
        <w:rPr>
          <w:rFonts w:ascii="PT Astra Serif" w:hAnsi="PT Astra Serif"/>
          <w:sz w:val="28"/>
          <w:szCs w:val="28"/>
          <w:lang w:eastAsia="ru-RU"/>
        </w:rPr>
        <w:t>90,6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 xml:space="preserve"> процент</w:t>
      </w:r>
      <w:r w:rsidR="00DC6181" w:rsidRPr="00DC5871">
        <w:rPr>
          <w:rFonts w:ascii="PT Astra Serif" w:hAnsi="PT Astra Serif"/>
          <w:sz w:val="28"/>
          <w:szCs w:val="28"/>
          <w:lang w:eastAsia="ru-RU"/>
        </w:rPr>
        <w:t>ов</w:t>
      </w:r>
      <w:r w:rsidR="0005347B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705FE" w:rsidRPr="00B314AD" w:rsidRDefault="00A705FE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711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4AB4" w:rsidRPr="00B314AD" w:rsidRDefault="003F4AB4" w:rsidP="009118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</w:p>
    <w:p w:rsidR="00357CAB" w:rsidRPr="00DC5871" w:rsidRDefault="00C750DF" w:rsidP="0082503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u w:val="single"/>
          <w:lang w:eastAsia="ru-RU"/>
        </w:rPr>
        <w:t>Жилищное строительство и обеспечение граждан жильем</w:t>
      </w:r>
    </w:p>
    <w:p w:rsidR="00FE4EF8" w:rsidRPr="00DC5871" w:rsidRDefault="00566484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О</w:t>
      </w:r>
      <w:r w:rsidR="0032757D" w:rsidRPr="00DC5871">
        <w:rPr>
          <w:rFonts w:ascii="PT Astra Serif" w:hAnsi="PT Astra Serif"/>
          <w:sz w:val="28"/>
          <w:szCs w:val="28"/>
          <w:lang w:eastAsia="ru-RU"/>
        </w:rPr>
        <w:t xml:space="preserve">бщая площадь жилых помещений,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2757D" w:rsidRPr="00DC5871">
        <w:rPr>
          <w:rFonts w:ascii="PT Astra Serif" w:hAnsi="PT Astra Serif"/>
          <w:sz w:val="28"/>
          <w:szCs w:val="28"/>
          <w:lang w:eastAsia="ru-RU"/>
        </w:rPr>
        <w:t xml:space="preserve">приходящихся на 1 жителя в </w:t>
      </w:r>
      <w:r w:rsidR="00403EAF">
        <w:rPr>
          <w:rFonts w:ascii="PT Astra Serif" w:hAnsi="PT Astra Serif"/>
          <w:sz w:val="28"/>
          <w:szCs w:val="28"/>
          <w:lang w:eastAsia="ru-RU"/>
        </w:rPr>
        <w:t>2019</w:t>
      </w:r>
      <w:r w:rsidR="0032757D" w:rsidRPr="00DC5871">
        <w:rPr>
          <w:rFonts w:ascii="PT Astra Serif" w:hAnsi="PT Astra Serif"/>
          <w:sz w:val="28"/>
          <w:szCs w:val="28"/>
          <w:lang w:eastAsia="ru-RU"/>
        </w:rPr>
        <w:t xml:space="preserve"> году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увеличилась на</w:t>
      </w:r>
      <w:r w:rsidR="00B5163F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6E4C">
        <w:rPr>
          <w:rFonts w:ascii="PT Astra Serif" w:hAnsi="PT Astra Serif"/>
          <w:sz w:val="28"/>
          <w:szCs w:val="28"/>
          <w:lang w:eastAsia="ru-RU"/>
        </w:rPr>
        <w:t>0,96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 и</w:t>
      </w:r>
      <w:r w:rsidR="0032757D" w:rsidRPr="00DC5871">
        <w:rPr>
          <w:rFonts w:ascii="PT Astra Serif" w:hAnsi="PT Astra Serif"/>
          <w:sz w:val="28"/>
          <w:szCs w:val="28"/>
          <w:lang w:eastAsia="ru-RU"/>
        </w:rPr>
        <w:t xml:space="preserve"> составила </w:t>
      </w:r>
      <w:r w:rsidR="00403EAF">
        <w:rPr>
          <w:rFonts w:ascii="PT Astra Serif" w:hAnsi="PT Astra Serif"/>
          <w:sz w:val="28"/>
          <w:szCs w:val="28"/>
          <w:lang w:eastAsia="ru-RU"/>
        </w:rPr>
        <w:t>31,7</w:t>
      </w:r>
      <w:r w:rsidR="0032757D" w:rsidRPr="00DC5871">
        <w:rPr>
          <w:rFonts w:ascii="PT Astra Serif" w:hAnsi="PT Astra Serif"/>
          <w:sz w:val="28"/>
          <w:szCs w:val="28"/>
          <w:lang w:eastAsia="ru-RU"/>
        </w:rPr>
        <w:t xml:space="preserve"> кв.м.</w:t>
      </w:r>
      <w:r w:rsidR="00F977AD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32709" w:rsidRPr="00B5163F" w:rsidRDefault="00F32709" w:rsidP="00FE4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3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56F21" w:rsidRPr="00DC5871" w:rsidRDefault="00980414" w:rsidP="00825039">
      <w:pPr>
        <w:spacing w:after="0" w:line="240" w:lineRule="auto"/>
        <w:ind w:firstLine="709"/>
        <w:jc w:val="both"/>
        <w:rPr>
          <w:rFonts w:ascii="PT Astra Serif" w:hAnsi="PT Astra Serif"/>
          <w:noProof/>
          <w:sz w:val="28"/>
          <w:szCs w:val="28"/>
          <w:highlight w:val="yellow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2022 году п</w:t>
      </w:r>
      <w:r w:rsidR="00F977AD"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ланируется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доведение значения</w:t>
      </w:r>
      <w:r w:rsidR="00F977AD" w:rsidRPr="00DC587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рассматриваемого показателя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до 32,2</w:t>
      </w:r>
      <w:r w:rsidR="00F977AD" w:rsidRPr="00DC5871">
        <w:rPr>
          <w:rFonts w:ascii="PT Astra Serif" w:hAnsi="PT Astra Serif"/>
          <w:color w:val="000000"/>
          <w:sz w:val="28"/>
          <w:szCs w:val="28"/>
          <w:lang w:eastAsia="ru-RU"/>
        </w:rPr>
        <w:t>, что соответствует общей задаче по увеличению объемов жилищного строительства.</w:t>
      </w:r>
      <w:r w:rsidR="00FE4EF8" w:rsidRPr="00DC5871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294568" w:rsidRPr="00DC5871" w:rsidRDefault="0032757D" w:rsidP="00825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201</w:t>
      </w:r>
      <w:r w:rsidR="00980414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в муниципальном районе общ</w:t>
      </w:r>
      <w:r w:rsidR="00DC507E" w:rsidRPr="00DC5871">
        <w:rPr>
          <w:rFonts w:ascii="PT Astra Serif" w:hAnsi="PT Astra Serif"/>
          <w:sz w:val="28"/>
          <w:szCs w:val="28"/>
          <w:lang w:eastAsia="ru-RU"/>
        </w:rPr>
        <w:t>ая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площад</w:t>
      </w:r>
      <w:r w:rsidR="00DC507E" w:rsidRPr="00DC5871">
        <w:rPr>
          <w:rFonts w:ascii="PT Astra Serif" w:hAnsi="PT Astra Serif"/>
          <w:sz w:val="28"/>
          <w:szCs w:val="28"/>
          <w:lang w:eastAsia="ru-RU"/>
        </w:rPr>
        <w:t>ь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земельных участков, предоставляемых для строительства в расчете на 10 тыс.</w:t>
      </w:r>
      <w:r w:rsidR="00825039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человек населения </w:t>
      </w:r>
      <w:r w:rsidR="00D70F99" w:rsidRPr="00DC5871">
        <w:rPr>
          <w:rFonts w:ascii="PT Astra Serif" w:hAnsi="PT Astra Serif"/>
          <w:sz w:val="28"/>
          <w:szCs w:val="28"/>
          <w:lang w:eastAsia="ru-RU"/>
        </w:rPr>
        <w:t xml:space="preserve">составила </w:t>
      </w:r>
      <w:r w:rsidR="005F460C" w:rsidRPr="00DC5871">
        <w:rPr>
          <w:rFonts w:ascii="PT Astra Serif" w:hAnsi="PT Astra Serif"/>
          <w:sz w:val="28"/>
          <w:szCs w:val="28"/>
          <w:lang w:eastAsia="ru-RU"/>
        </w:rPr>
        <w:t>0,9</w:t>
      </w:r>
      <w:r w:rsidR="00D70F99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га</w:t>
      </w:r>
      <w:r w:rsidR="00697098">
        <w:rPr>
          <w:rFonts w:ascii="PT Astra Serif" w:hAnsi="PT Astra Serif"/>
          <w:sz w:val="28"/>
          <w:szCs w:val="28"/>
          <w:lang w:eastAsia="ru-RU"/>
        </w:rPr>
        <w:t xml:space="preserve"> и осталась на уровне 2018 года.</w:t>
      </w:r>
    </w:p>
    <w:p w:rsidR="004F74F0" w:rsidRPr="00DC5871" w:rsidRDefault="004F74F0" w:rsidP="0082503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C5871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управления: непосредственное управление, управление товариществом собственников жилья или управление управляющей компанией.</w:t>
      </w:r>
    </w:p>
    <w:p w:rsidR="00F977AD" w:rsidRPr="00DC5871" w:rsidRDefault="00F977AD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F74F0" w:rsidRPr="00DC5871">
        <w:rPr>
          <w:rFonts w:ascii="PT Astra Serif" w:hAnsi="PT Astra Serif"/>
          <w:sz w:val="28"/>
          <w:szCs w:val="28"/>
          <w:lang w:eastAsia="ru-RU"/>
        </w:rPr>
        <w:t xml:space="preserve">Кимовском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районе </w:t>
      </w:r>
      <w:r w:rsidR="00E30234" w:rsidRPr="00DC5871">
        <w:rPr>
          <w:rFonts w:ascii="PT Astra Serif" w:hAnsi="PT Astra Serif"/>
          <w:sz w:val="28"/>
          <w:szCs w:val="28"/>
          <w:lang w:eastAsia="ru-RU"/>
        </w:rPr>
        <w:t>100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процентов собственников помещений многоквартирных домов выбрали один из способов управления многоквартирными домами.</w:t>
      </w:r>
    </w:p>
    <w:p w:rsidR="00BE2B8D" w:rsidRPr="00B314AD" w:rsidRDefault="00C3401C" w:rsidP="00BE2B8D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8379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51A9E" w:rsidRPr="00DC5871" w:rsidRDefault="00551A9E" w:rsidP="0082503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В районе постепенно осуществляется государственный кадастровый учет земельных участков под многоквартирными домами. В 201</w:t>
      </w:r>
      <w:r w:rsidR="00697098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D92939" w:rsidRPr="00DC5871">
        <w:rPr>
          <w:rFonts w:ascii="PT Astra Serif" w:hAnsi="PT Astra Serif"/>
          <w:sz w:val="28"/>
          <w:szCs w:val="28"/>
          <w:lang w:eastAsia="ru-RU"/>
        </w:rPr>
        <w:t>,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составила </w:t>
      </w:r>
      <w:r w:rsidR="00697098">
        <w:rPr>
          <w:rFonts w:ascii="PT Astra Serif" w:hAnsi="PT Astra Serif"/>
          <w:sz w:val="28"/>
          <w:szCs w:val="28"/>
          <w:lang w:eastAsia="ru-RU"/>
        </w:rPr>
        <w:t>62</w:t>
      </w:r>
      <w:r w:rsidR="009B2557" w:rsidRPr="00DC5871">
        <w:rPr>
          <w:rFonts w:ascii="PT Astra Serif" w:hAnsi="PT Astra Serif"/>
          <w:sz w:val="28"/>
          <w:szCs w:val="28"/>
          <w:lang w:eastAsia="ru-RU"/>
        </w:rPr>
        <w:t>,0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</w:t>
      </w:r>
      <w:r w:rsidR="004B71B6" w:rsidRPr="00DC5871">
        <w:rPr>
          <w:rFonts w:ascii="PT Astra Serif" w:hAnsi="PT Astra Serif"/>
          <w:sz w:val="28"/>
          <w:szCs w:val="28"/>
          <w:lang w:eastAsia="ru-RU"/>
        </w:rPr>
        <w:t xml:space="preserve"> (в 201</w:t>
      </w:r>
      <w:r w:rsidR="00697098">
        <w:rPr>
          <w:rFonts w:ascii="PT Astra Serif" w:hAnsi="PT Astra Serif"/>
          <w:sz w:val="28"/>
          <w:szCs w:val="28"/>
          <w:lang w:eastAsia="ru-RU"/>
        </w:rPr>
        <w:t>8</w:t>
      </w:r>
      <w:r w:rsidR="004B71B6" w:rsidRPr="00DC5871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697098">
        <w:rPr>
          <w:rFonts w:ascii="PT Astra Serif" w:hAnsi="PT Astra Serif"/>
          <w:sz w:val="28"/>
          <w:szCs w:val="28"/>
          <w:lang w:eastAsia="ru-RU"/>
        </w:rPr>
        <w:t>60,0</w:t>
      </w:r>
      <w:r w:rsidR="004B71B6" w:rsidRPr="00DC5871">
        <w:rPr>
          <w:rFonts w:ascii="PT Astra Serif" w:hAnsi="PT Astra Serif"/>
          <w:sz w:val="28"/>
          <w:szCs w:val="28"/>
          <w:lang w:eastAsia="ru-RU"/>
        </w:rPr>
        <w:t>%)</w:t>
      </w:r>
      <w:r w:rsidRPr="00DC5871">
        <w:rPr>
          <w:rFonts w:ascii="PT Astra Serif" w:hAnsi="PT Astra Serif"/>
          <w:sz w:val="28"/>
          <w:szCs w:val="28"/>
          <w:lang w:eastAsia="ru-RU"/>
        </w:rPr>
        <w:t>, к 20</w:t>
      </w:r>
      <w:r w:rsidR="00697098">
        <w:rPr>
          <w:rFonts w:ascii="PT Astra Serif" w:hAnsi="PT Astra Serif"/>
          <w:sz w:val="28"/>
          <w:szCs w:val="28"/>
          <w:lang w:eastAsia="ru-RU"/>
        </w:rPr>
        <w:t>22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– планируется</w:t>
      </w:r>
      <w:r w:rsidR="004B71B6" w:rsidRPr="00DC5871">
        <w:rPr>
          <w:rFonts w:ascii="PT Astra Serif" w:hAnsi="PT Astra Serif"/>
          <w:sz w:val="28"/>
          <w:szCs w:val="28"/>
          <w:lang w:eastAsia="ru-RU"/>
        </w:rPr>
        <w:t xml:space="preserve"> довести значение данного показателя до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97098">
        <w:rPr>
          <w:rFonts w:ascii="PT Astra Serif" w:hAnsi="PT Astra Serif"/>
          <w:sz w:val="28"/>
          <w:szCs w:val="28"/>
          <w:lang w:eastAsia="ru-RU"/>
        </w:rPr>
        <w:t>65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5B19B0" w:rsidRPr="00B314AD" w:rsidRDefault="005B19B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09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4575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341CC" w:rsidRPr="00C8379A" w:rsidRDefault="000341CC" w:rsidP="00911873">
      <w:pPr>
        <w:spacing w:after="0" w:line="240" w:lineRule="auto"/>
        <w:ind w:firstLine="720"/>
        <w:jc w:val="both"/>
        <w:rPr>
          <w:rFonts w:ascii="Times New Roman" w:hAnsi="Times New Roman"/>
          <w:sz w:val="28"/>
          <w:u w:val="single"/>
        </w:rPr>
      </w:pPr>
      <w:r w:rsidRPr="00C8379A">
        <w:rPr>
          <w:rFonts w:ascii="Times New Roman" w:hAnsi="Times New Roman"/>
          <w:b/>
          <w:sz w:val="28"/>
          <w:szCs w:val="28"/>
          <w:u w:val="single"/>
        </w:rPr>
        <w:t>Организация муниципального управления</w:t>
      </w:r>
    </w:p>
    <w:p w:rsidR="000341CC" w:rsidRPr="00C8379A" w:rsidRDefault="000341CC" w:rsidP="00C9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9A">
        <w:rPr>
          <w:rFonts w:ascii="Times New Roman" w:hAnsi="Times New Roman"/>
          <w:sz w:val="28"/>
          <w:szCs w:val="28"/>
          <w:lang w:eastAsia="ru-RU"/>
        </w:rPr>
        <w:t xml:space="preserve">Эффективность власти определяется тем, насколько эффективна власть на первичном, низовом уровне – в муниципальном образовании. </w:t>
      </w:r>
    </w:p>
    <w:p w:rsidR="00E617FE" w:rsidRDefault="00E617FE" w:rsidP="00C968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8379A">
        <w:rPr>
          <w:rFonts w:ascii="Times New Roman" w:eastAsia="MS Mincho" w:hAnsi="Times New Roman"/>
          <w:sz w:val="28"/>
          <w:szCs w:val="28"/>
          <w:lang w:eastAsia="ru-RU"/>
        </w:rPr>
        <w:t xml:space="preserve">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эффективности. </w:t>
      </w:r>
    </w:p>
    <w:p w:rsidR="00522BFB" w:rsidRPr="009D3695" w:rsidRDefault="00522BFB" w:rsidP="00522BF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3695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За 2019 год в бюджет МО Кимовский район поступили доходы в сумме 1046,5 млн. руб. – это на 134,5 млн. руб. выше уровня 2018 года.</w:t>
      </w:r>
    </w:p>
    <w:p w:rsidR="00522BFB" w:rsidRPr="009D3695" w:rsidRDefault="00522BFB" w:rsidP="00522BF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3695">
        <w:rPr>
          <w:rFonts w:ascii="Times New Roman" w:eastAsia="MS Mincho" w:hAnsi="Times New Roman"/>
          <w:sz w:val="28"/>
          <w:szCs w:val="28"/>
          <w:lang w:eastAsia="ru-RU"/>
        </w:rPr>
        <w:t>Поступления налоговых и неналоговых доходов составили 308,8 млн. руб., что  на 27,4 млн. руб. ниже уровня 2018 года.</w:t>
      </w:r>
    </w:p>
    <w:p w:rsidR="00522BFB" w:rsidRPr="00C8379A" w:rsidRDefault="00522BFB" w:rsidP="00522BF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3695">
        <w:rPr>
          <w:rFonts w:ascii="Times New Roman" w:eastAsia="MS Mincho" w:hAnsi="Times New Roman"/>
          <w:sz w:val="28"/>
          <w:szCs w:val="28"/>
          <w:lang w:eastAsia="ru-RU"/>
        </w:rPr>
        <w:t>Общий объем безвозмездных поступлений в 2019 году составил 737,7 млн. руб., выше уровня 2018 года на 162,0 млн. руб.</w:t>
      </w:r>
    </w:p>
    <w:p w:rsidR="0032757D" w:rsidRPr="00817F7C" w:rsidRDefault="00551A9E" w:rsidP="00C96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F7C">
        <w:rPr>
          <w:rFonts w:ascii="Times New Roman" w:hAnsi="Times New Roman"/>
          <w:sz w:val="28"/>
          <w:szCs w:val="28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(без учета субвенций) в 201</w:t>
      </w:r>
      <w:r w:rsidR="00BB2AEE">
        <w:rPr>
          <w:rFonts w:ascii="Times New Roman" w:hAnsi="Times New Roman"/>
          <w:sz w:val="28"/>
          <w:szCs w:val="28"/>
          <w:lang w:eastAsia="ru-RU"/>
        </w:rPr>
        <w:t>9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году составил</w:t>
      </w:r>
      <w:r w:rsidR="009166C5" w:rsidRPr="00817F7C">
        <w:rPr>
          <w:rFonts w:ascii="Times New Roman" w:hAnsi="Times New Roman"/>
          <w:sz w:val="28"/>
          <w:szCs w:val="28"/>
          <w:lang w:eastAsia="ru-RU"/>
        </w:rPr>
        <w:t>а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AEE">
        <w:rPr>
          <w:rFonts w:ascii="Times New Roman" w:hAnsi="Times New Roman"/>
          <w:sz w:val="28"/>
          <w:szCs w:val="28"/>
          <w:lang w:eastAsia="ru-RU"/>
        </w:rPr>
        <w:t>48,4</w:t>
      </w:r>
      <w:r w:rsidR="00F87D7B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D7B" w:rsidRPr="00F87D7B">
        <w:rPr>
          <w:rFonts w:ascii="Times New Roman" w:hAnsi="Times New Roman"/>
          <w:sz w:val="28"/>
          <w:szCs w:val="28"/>
          <w:lang w:eastAsia="ru-RU"/>
        </w:rPr>
        <w:t xml:space="preserve">По сравнению с 2018 годом (64,5%) </w:t>
      </w:r>
      <w:r w:rsidR="00F87D7B">
        <w:rPr>
          <w:rFonts w:ascii="Times New Roman" w:hAnsi="Times New Roman"/>
          <w:sz w:val="28"/>
          <w:szCs w:val="28"/>
          <w:lang w:eastAsia="ru-RU"/>
        </w:rPr>
        <w:t>показатель снизился</w:t>
      </w:r>
      <w:r w:rsidR="00F87D7B" w:rsidRPr="00F87D7B">
        <w:rPr>
          <w:rFonts w:ascii="Times New Roman" w:hAnsi="Times New Roman"/>
          <w:sz w:val="28"/>
          <w:szCs w:val="28"/>
          <w:lang w:eastAsia="ru-RU"/>
        </w:rPr>
        <w:t xml:space="preserve"> на 16,1 процентных пункта в связи с уменьшением поступления в </w:t>
      </w:r>
      <w:r w:rsidR="00940051">
        <w:rPr>
          <w:rFonts w:ascii="Times New Roman" w:hAnsi="Times New Roman"/>
          <w:sz w:val="28"/>
          <w:szCs w:val="28"/>
          <w:lang w:eastAsia="ru-RU"/>
        </w:rPr>
        <w:t>отчетном</w:t>
      </w:r>
      <w:r w:rsidR="00F87D7B" w:rsidRPr="00F87D7B">
        <w:rPr>
          <w:rFonts w:ascii="Times New Roman" w:hAnsi="Times New Roman"/>
          <w:sz w:val="28"/>
          <w:szCs w:val="28"/>
          <w:lang w:eastAsia="ru-RU"/>
        </w:rPr>
        <w:t xml:space="preserve"> году налоговых и неналоговых доходов (снижение поступления налога на имущество организаций от ГУ ТО «Тулаавтодор», с 01.01.2019 налог перечисляется в бюджеты по месту регистрации автомобильных дорог)  и увеличением безвозмездных перечислений (без учета субвенций)</w:t>
      </w:r>
      <w:r w:rsidR="00F87D7B">
        <w:rPr>
          <w:rFonts w:ascii="Times New Roman" w:hAnsi="Times New Roman"/>
          <w:sz w:val="28"/>
          <w:szCs w:val="28"/>
          <w:lang w:eastAsia="ru-RU"/>
        </w:rPr>
        <w:t>.</w:t>
      </w:r>
      <w:r w:rsidR="00F87D7B" w:rsidRPr="00F8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348" w:rsidRPr="00817F7C">
        <w:rPr>
          <w:rFonts w:ascii="Times New Roman" w:hAnsi="Times New Roman"/>
          <w:sz w:val="28"/>
          <w:szCs w:val="28"/>
          <w:lang w:eastAsia="ru-RU"/>
        </w:rPr>
        <w:t>К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B2AEE">
        <w:rPr>
          <w:rFonts w:ascii="Times New Roman" w:hAnsi="Times New Roman"/>
          <w:sz w:val="28"/>
          <w:szCs w:val="28"/>
          <w:lang w:eastAsia="ru-RU"/>
        </w:rPr>
        <w:t>22</w:t>
      </w:r>
      <w:r w:rsidRPr="00817F7C">
        <w:rPr>
          <w:rFonts w:ascii="Times New Roman" w:hAnsi="Times New Roman"/>
          <w:sz w:val="28"/>
          <w:szCs w:val="28"/>
          <w:lang w:eastAsia="ru-RU"/>
        </w:rPr>
        <w:t xml:space="preserve"> году доля данного показателя планируется на уровне </w:t>
      </w:r>
      <w:r w:rsidR="00BB2AEE">
        <w:rPr>
          <w:rFonts w:ascii="Times New Roman" w:hAnsi="Times New Roman"/>
          <w:sz w:val="28"/>
          <w:szCs w:val="28"/>
          <w:lang w:eastAsia="ru-RU"/>
        </w:rPr>
        <w:t>71,5</w:t>
      </w:r>
      <w:r w:rsidR="00F30F9F" w:rsidRPr="00817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F7C">
        <w:rPr>
          <w:rFonts w:ascii="Times New Roman" w:hAnsi="Times New Roman"/>
          <w:sz w:val="28"/>
          <w:szCs w:val="28"/>
          <w:lang w:eastAsia="ru-RU"/>
        </w:rPr>
        <w:t>процент</w:t>
      </w:r>
      <w:r w:rsidR="003A11D8" w:rsidRPr="00817F7C">
        <w:rPr>
          <w:rFonts w:ascii="Times New Roman" w:hAnsi="Times New Roman"/>
          <w:sz w:val="28"/>
          <w:szCs w:val="28"/>
          <w:lang w:eastAsia="ru-RU"/>
        </w:rPr>
        <w:t>а</w:t>
      </w:r>
      <w:r w:rsidRPr="00817F7C">
        <w:rPr>
          <w:rFonts w:ascii="Times New Roman" w:hAnsi="Times New Roman"/>
          <w:sz w:val="28"/>
          <w:szCs w:val="28"/>
          <w:lang w:eastAsia="ru-RU"/>
        </w:rPr>
        <w:t>.</w:t>
      </w:r>
    </w:p>
    <w:p w:rsidR="00EA0B50" w:rsidRPr="00817F7C" w:rsidRDefault="00EA0B50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0150" w:rsidRPr="00817F7C" w:rsidRDefault="00600150" w:rsidP="0091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05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F853C97" wp14:editId="75724904">
            <wp:extent cx="5572125" cy="24479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92267" w:rsidRPr="00DC5871" w:rsidRDefault="00E92267" w:rsidP="00C968B6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DC5871">
        <w:rPr>
          <w:rFonts w:ascii="PT Astra Serif" w:hAnsi="PT Astra Serif"/>
          <w:bCs/>
          <w:color w:val="000000"/>
          <w:sz w:val="28"/>
          <w:szCs w:val="28"/>
          <w:lang w:eastAsia="ru-RU"/>
        </w:rPr>
        <w:t>В муниципальном образовании отсутствуют муниципальные предприятия, находящиеся в процессе банкротства.</w:t>
      </w:r>
    </w:p>
    <w:p w:rsidR="00B7082C" w:rsidRPr="00DC5871" w:rsidRDefault="00B7082C" w:rsidP="00C968B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>Объем незавершенного строительства  в районе в отчетном году равен нулю, что свидетельствует об эффективном использовании ассигнований, соблюдении законодательства.</w:t>
      </w:r>
    </w:p>
    <w:p w:rsidR="001517DB" w:rsidRPr="00DC5871" w:rsidRDefault="001517DB" w:rsidP="00C968B6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Просроченная задолженность по заработной плате в </w:t>
      </w:r>
      <w:r w:rsidRPr="00DC5871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 учреждениях муниципального образования в 201</w:t>
      </w:r>
      <w:r w:rsidR="00C764F6">
        <w:rPr>
          <w:rFonts w:ascii="PT Astra Serif" w:eastAsia="Times New Roman" w:hAnsi="PT Astra Serif"/>
          <w:bCs/>
          <w:sz w:val="28"/>
          <w:szCs w:val="28"/>
          <w:lang w:eastAsia="ru-RU"/>
        </w:rPr>
        <w:t>9</w:t>
      </w:r>
      <w:r w:rsidRPr="00DC5871">
        <w:rPr>
          <w:rFonts w:ascii="PT Astra Serif" w:eastAsia="Times New Roman" w:hAnsi="PT Astra Serif"/>
          <w:bCs/>
          <w:sz w:val="28"/>
          <w:szCs w:val="28"/>
          <w:lang w:eastAsia="ru-RU"/>
        </w:rPr>
        <w:t> году отсутствовала.</w:t>
      </w:r>
    </w:p>
    <w:p w:rsidR="00176CCC" w:rsidRPr="00DC5871" w:rsidRDefault="005E5FE2" w:rsidP="00C968B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в 201</w:t>
      </w:r>
      <w:r w:rsidR="00715BEB">
        <w:rPr>
          <w:rFonts w:ascii="PT Astra Serif" w:hAnsi="PT Astra Serif"/>
          <w:sz w:val="28"/>
          <w:szCs w:val="28"/>
          <w:lang w:eastAsia="ru-RU"/>
        </w:rPr>
        <w:t>9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составили </w:t>
      </w:r>
      <w:r w:rsidR="00715BEB">
        <w:rPr>
          <w:rFonts w:ascii="PT Astra Serif" w:eastAsia="Times New Roman" w:hAnsi="PT Astra Serif"/>
          <w:sz w:val="28"/>
          <w:szCs w:val="28"/>
          <w:lang w:eastAsia="ru-RU"/>
        </w:rPr>
        <w:t>1205,25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рублей, что на </w:t>
      </w:r>
      <w:r w:rsidR="00715BEB">
        <w:rPr>
          <w:rFonts w:ascii="PT Astra Serif" w:hAnsi="PT Astra Serif"/>
          <w:sz w:val="28"/>
          <w:szCs w:val="28"/>
          <w:lang w:eastAsia="ru-RU"/>
        </w:rPr>
        <w:t>82,08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рублей </w:t>
      </w:r>
      <w:r w:rsidR="009B2557" w:rsidRPr="00DC5871">
        <w:rPr>
          <w:rFonts w:ascii="PT Astra Serif" w:hAnsi="PT Astra Serif"/>
          <w:sz w:val="28"/>
          <w:szCs w:val="28"/>
          <w:lang w:eastAsia="ru-RU"/>
        </w:rPr>
        <w:t>выше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уровня 201</w:t>
      </w:r>
      <w:r w:rsidR="00715BEB">
        <w:rPr>
          <w:rFonts w:ascii="PT Astra Serif" w:hAnsi="PT Astra Serif"/>
          <w:sz w:val="28"/>
          <w:szCs w:val="28"/>
          <w:lang w:eastAsia="ru-RU"/>
        </w:rPr>
        <w:t>8</w:t>
      </w:r>
      <w:r w:rsidR="009B2557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>года</w:t>
      </w:r>
      <w:r w:rsidR="006A4F8B"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F42ACC" w:rsidRPr="00F42A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42ACC">
        <w:rPr>
          <w:rFonts w:ascii="PT Astra Serif" w:hAnsi="PT Astra Serif"/>
          <w:sz w:val="28"/>
          <w:szCs w:val="28"/>
          <w:lang w:eastAsia="ru-RU"/>
        </w:rPr>
        <w:t>Рост данного показателя обусловлен увеличением заработной</w:t>
      </w:r>
      <w:r w:rsidR="00F42ACC">
        <w:rPr>
          <w:rFonts w:ascii="PT Astra Serif" w:hAnsi="PT Astra Serif"/>
          <w:sz w:val="28"/>
          <w:szCs w:val="28"/>
          <w:lang w:eastAsia="ru-RU"/>
        </w:rPr>
        <w:tab/>
        <w:t xml:space="preserve"> платы работников органов местного самоуправления.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К 20</w:t>
      </w:r>
      <w:r w:rsidR="00A72234" w:rsidRPr="00DC5871">
        <w:rPr>
          <w:rFonts w:ascii="PT Astra Serif" w:hAnsi="PT Astra Serif"/>
          <w:sz w:val="28"/>
          <w:szCs w:val="28"/>
          <w:lang w:eastAsia="ru-RU"/>
        </w:rPr>
        <w:t>2</w:t>
      </w:r>
      <w:r w:rsidR="00715BEB">
        <w:rPr>
          <w:rFonts w:ascii="PT Astra Serif" w:hAnsi="PT Astra Serif"/>
          <w:sz w:val="28"/>
          <w:szCs w:val="28"/>
          <w:lang w:eastAsia="ru-RU"/>
        </w:rPr>
        <w:t>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году планируется снижение данного показателя до </w:t>
      </w:r>
      <w:r w:rsidR="00224F05">
        <w:rPr>
          <w:rFonts w:ascii="PT Astra Serif" w:eastAsia="Times New Roman" w:hAnsi="PT Astra Serif"/>
          <w:sz w:val="28"/>
          <w:szCs w:val="28"/>
          <w:lang w:eastAsia="ru-RU"/>
        </w:rPr>
        <w:t>972,62</w:t>
      </w:r>
      <w:r w:rsidRPr="00DC5871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6A4F8B" w:rsidRPr="00DC5871">
        <w:rPr>
          <w:rFonts w:ascii="PT Astra Serif" w:hAnsi="PT Astra Serif"/>
          <w:sz w:val="28"/>
          <w:szCs w:val="28"/>
          <w:lang w:eastAsia="ru-RU"/>
        </w:rPr>
        <w:t>ей</w:t>
      </w:r>
      <w:r w:rsidR="00F42ACC">
        <w:rPr>
          <w:rFonts w:ascii="PT Astra Serif" w:hAnsi="PT Astra Serif"/>
          <w:sz w:val="28"/>
          <w:szCs w:val="28"/>
          <w:lang w:eastAsia="ru-RU"/>
        </w:rPr>
        <w:t xml:space="preserve"> за счет того, что не в полном объеме предусмотрены расходы на содержание </w:t>
      </w:r>
      <w:r w:rsidR="00F42ACC" w:rsidRPr="00F42ACC">
        <w:rPr>
          <w:rFonts w:ascii="PT Astra Serif" w:hAnsi="PT Astra Serif"/>
          <w:sz w:val="28"/>
          <w:szCs w:val="28"/>
          <w:lang w:eastAsia="ru-RU"/>
        </w:rPr>
        <w:t>работников органов местного самоуправления</w:t>
      </w:r>
      <w:r w:rsidRPr="00DC5871">
        <w:rPr>
          <w:rFonts w:ascii="PT Astra Serif" w:hAnsi="PT Astra Serif"/>
          <w:sz w:val="28"/>
          <w:szCs w:val="28"/>
          <w:lang w:eastAsia="ru-RU"/>
        </w:rPr>
        <w:t>.</w:t>
      </w:r>
      <w:r w:rsidR="00176CCC" w:rsidRPr="00DC587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76CCC" w:rsidRPr="00DC5871" w:rsidRDefault="00176CCC" w:rsidP="00C968B6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lastRenderedPageBreak/>
        <w:t xml:space="preserve">В Кимовском районе 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>разработана градостроительная документация по планировке территории.</w:t>
      </w:r>
    </w:p>
    <w:p w:rsidR="00176CCC" w:rsidRPr="00B314AD" w:rsidRDefault="00176CCC" w:rsidP="009118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4005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7E144B50" wp14:editId="6B9A433B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55BBC" w:rsidRPr="00DC5871" w:rsidRDefault="00055BBC" w:rsidP="001F2A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Одним из негативных показателей развития муниципального образования является демографическая ситуация. </w:t>
      </w:r>
    </w:p>
    <w:p w:rsidR="00FD595A" w:rsidRPr="00DC5871" w:rsidRDefault="0064775D" w:rsidP="00C968B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DC5871">
        <w:rPr>
          <w:rFonts w:ascii="PT Astra Serif" w:hAnsi="PT Astra Serif"/>
          <w:bCs/>
          <w:sz w:val="28"/>
          <w:szCs w:val="28"/>
          <w:lang w:eastAsia="ru-RU"/>
        </w:rPr>
        <w:t>Анализ значения показателя «Среднегодовая численность постоянного населения»,</w:t>
      </w:r>
      <w:r w:rsidRPr="00DC587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DC5871">
        <w:rPr>
          <w:rFonts w:ascii="PT Astra Serif" w:hAnsi="PT Astra Serif"/>
          <w:bCs/>
          <w:sz w:val="28"/>
          <w:szCs w:val="28"/>
          <w:lang w:eastAsia="ru-RU"/>
        </w:rPr>
        <w:t>отражающего динамику прироста (убыли) численности населения в районе, выполненный по статистическим данным государственной статистики о численности населения на начало и конец отчетного года, свидетельствует о сохраняющейся тенденции уменьшения среднегодовой численности постоянного населения</w:t>
      </w:r>
      <w:r w:rsidR="006D4C9B" w:rsidRPr="00DC587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6D4C9B" w:rsidRPr="00DC5871">
        <w:rPr>
          <w:rFonts w:ascii="PT Astra Serif" w:hAnsi="PT Astra Serif"/>
          <w:sz w:val="28"/>
          <w:szCs w:val="28"/>
          <w:lang w:eastAsia="ru-RU"/>
        </w:rPr>
        <w:t>вследствие высокого уровня смертности и низкой рождаемости.</w:t>
      </w:r>
      <w:r w:rsidR="006D4C9B" w:rsidRPr="00DC5871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CE3A62" w:rsidRPr="00DC5871" w:rsidRDefault="003908E5" w:rsidP="00C968B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C5871">
        <w:rPr>
          <w:rFonts w:ascii="PT Astra Serif" w:hAnsi="PT Astra Serif"/>
          <w:sz w:val="28"/>
          <w:szCs w:val="28"/>
          <w:lang w:eastAsia="ru-RU"/>
        </w:rPr>
        <w:t xml:space="preserve">По состоянию на 1 января </w:t>
      </w:r>
      <w:r w:rsidR="00E5331A">
        <w:rPr>
          <w:rFonts w:ascii="PT Astra Serif" w:hAnsi="PT Astra Serif"/>
          <w:sz w:val="28"/>
          <w:szCs w:val="28"/>
          <w:lang w:eastAsia="ru-RU"/>
        </w:rPr>
        <w:t>2020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9F1520" w:rsidRPr="00DC5871">
        <w:rPr>
          <w:rFonts w:ascii="PT Astra Serif" w:hAnsi="PT Astra Serif"/>
          <w:sz w:val="28"/>
          <w:szCs w:val="28"/>
          <w:lang w:eastAsia="ru-RU"/>
        </w:rPr>
        <w:t>а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 xml:space="preserve"> среднегодовая численность населения муниципального района сократилась на </w:t>
      </w:r>
      <w:r w:rsidR="00E5331A">
        <w:rPr>
          <w:rFonts w:ascii="PT Astra Serif" w:hAnsi="PT Astra Serif"/>
          <w:sz w:val="28"/>
          <w:szCs w:val="28"/>
          <w:lang w:eastAsia="ru-RU"/>
        </w:rPr>
        <w:t>411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 xml:space="preserve"> человек и составила </w:t>
      </w:r>
      <w:r w:rsidR="00E5331A">
        <w:rPr>
          <w:rFonts w:ascii="PT Astra Serif" w:hAnsi="PT Astra Serif"/>
          <w:sz w:val="28"/>
          <w:szCs w:val="28"/>
          <w:lang w:eastAsia="ru-RU"/>
        </w:rPr>
        <w:t>37,17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 xml:space="preserve"> тыс.</w:t>
      </w:r>
      <w:r w:rsidR="00856B1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>человек.  Аналогичная ситуация будет сохраняться и до 20</w:t>
      </w:r>
      <w:r w:rsidR="00CE5314" w:rsidRPr="00DC5871">
        <w:rPr>
          <w:rFonts w:ascii="PT Astra Serif" w:hAnsi="PT Astra Serif"/>
          <w:sz w:val="28"/>
          <w:szCs w:val="28"/>
          <w:lang w:eastAsia="ru-RU"/>
        </w:rPr>
        <w:t>2</w:t>
      </w:r>
      <w:r w:rsidR="00856B18">
        <w:rPr>
          <w:rFonts w:ascii="PT Astra Serif" w:hAnsi="PT Astra Serif"/>
          <w:sz w:val="28"/>
          <w:szCs w:val="28"/>
          <w:lang w:eastAsia="ru-RU"/>
        </w:rPr>
        <w:t>2</w:t>
      </w:r>
      <w:r w:rsidR="007510AE" w:rsidRPr="00DC5871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082E0F" w:rsidRPr="00CE3A62" w:rsidRDefault="00082E0F" w:rsidP="001F2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55FD" w:rsidRPr="00B314AD" w:rsidRDefault="00176CCC" w:rsidP="00082E0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3677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D55FD" w:rsidRPr="00DC5871" w:rsidRDefault="007D55FD" w:rsidP="0091187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>В целях регулирования демо</w:t>
      </w:r>
      <w:r w:rsidR="00571B66" w:rsidRPr="00DC5871">
        <w:rPr>
          <w:rFonts w:ascii="PT Astra Serif" w:eastAsia="Times New Roman" w:hAnsi="PT Astra Serif"/>
          <w:sz w:val="28"/>
          <w:szCs w:val="28"/>
          <w:lang w:eastAsia="ru-RU"/>
        </w:rPr>
        <w:t>графических процессов утвержден план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мероприятий по реализации Концепции демографической политики Российской Федерации на период до 2025 года</w:t>
      </w:r>
      <w:r w:rsidR="00024D16" w:rsidRPr="00DC5871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сформирована система мер поддержки семей с детьми, финансируемых из средств местных бюджетов, в том числе, установлены выплаты при рождении вторых и последующих детей</w:t>
      </w:r>
      <w:r w:rsidR="00055BBC" w:rsidRPr="00DC5871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 разработаны и реализуются</w:t>
      </w:r>
      <w:r w:rsidRPr="00DC587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>муниципальные программы по улучшению демографической ситуации.</w:t>
      </w:r>
    </w:p>
    <w:p w:rsidR="007E56AE" w:rsidRPr="00DC5871" w:rsidRDefault="007E56AE" w:rsidP="00C968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В целях оказания социальной помощи семьям с детьми </w:t>
      </w:r>
      <w:r w:rsidR="00DB1C7E" w:rsidRPr="00DC5871">
        <w:rPr>
          <w:rFonts w:ascii="PT Astra Serif" w:hAnsi="PT Astra Serif"/>
          <w:sz w:val="28"/>
          <w:szCs w:val="28"/>
        </w:rPr>
        <w:t>р</w:t>
      </w:r>
      <w:r w:rsidRPr="00DC5871">
        <w:rPr>
          <w:rFonts w:ascii="PT Astra Serif" w:hAnsi="PT Astra Serif"/>
          <w:sz w:val="28"/>
          <w:szCs w:val="28"/>
        </w:rPr>
        <w:t>ешение</w:t>
      </w:r>
      <w:r w:rsidR="00DB1C7E" w:rsidRPr="00DC5871">
        <w:rPr>
          <w:rFonts w:ascii="PT Astra Serif" w:hAnsi="PT Astra Serif"/>
          <w:sz w:val="28"/>
          <w:szCs w:val="28"/>
        </w:rPr>
        <w:t>м</w:t>
      </w:r>
      <w:r w:rsidRPr="00DC5871">
        <w:rPr>
          <w:rFonts w:ascii="PT Astra Serif" w:hAnsi="PT Astra Serif"/>
          <w:sz w:val="28"/>
          <w:szCs w:val="28"/>
        </w:rPr>
        <w:t xml:space="preserve"> Собрания представителей МО Кимовский район от 25.10.</w:t>
      </w:r>
      <w:r w:rsidR="00055BBC" w:rsidRPr="00DC5871">
        <w:rPr>
          <w:rFonts w:ascii="PT Astra Serif" w:hAnsi="PT Astra Serif"/>
          <w:sz w:val="28"/>
          <w:szCs w:val="28"/>
        </w:rPr>
        <w:t>20</w:t>
      </w:r>
      <w:r w:rsidRPr="00DC5871">
        <w:rPr>
          <w:rFonts w:ascii="PT Astra Serif" w:hAnsi="PT Astra Serif"/>
          <w:sz w:val="28"/>
          <w:szCs w:val="28"/>
        </w:rPr>
        <w:t>12 № 74-433 «О районном материнском (семейном) капитале»</w:t>
      </w:r>
      <w:r w:rsidR="00DB1C7E" w:rsidRPr="00DC5871">
        <w:rPr>
          <w:rFonts w:ascii="PT Astra Serif" w:hAnsi="PT Astra Serif"/>
          <w:sz w:val="28"/>
          <w:szCs w:val="28"/>
        </w:rPr>
        <w:t xml:space="preserve"> и</w:t>
      </w:r>
      <w:r w:rsidRPr="00DC5871">
        <w:rPr>
          <w:rFonts w:ascii="PT Astra Serif" w:hAnsi="PT Astra Serif"/>
          <w:sz w:val="28"/>
          <w:szCs w:val="28"/>
        </w:rPr>
        <w:t xml:space="preserve"> </w:t>
      </w:r>
      <w:r w:rsidR="00DB1C7E" w:rsidRPr="00DC5871">
        <w:rPr>
          <w:rFonts w:ascii="PT Astra Serif" w:hAnsi="PT Astra Serif"/>
          <w:sz w:val="28"/>
          <w:szCs w:val="28"/>
        </w:rPr>
        <w:t>п</w:t>
      </w:r>
      <w:r w:rsidRPr="00DC5871">
        <w:rPr>
          <w:rFonts w:ascii="PT Astra Serif" w:hAnsi="PT Astra Serif"/>
          <w:sz w:val="28"/>
          <w:szCs w:val="28"/>
        </w:rPr>
        <w:t>остановление</w:t>
      </w:r>
      <w:r w:rsidR="00DB1C7E" w:rsidRPr="00DC5871">
        <w:rPr>
          <w:rFonts w:ascii="PT Astra Serif" w:hAnsi="PT Astra Serif"/>
          <w:sz w:val="28"/>
          <w:szCs w:val="28"/>
        </w:rPr>
        <w:t>м</w:t>
      </w:r>
      <w:r w:rsidRPr="00DC587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 от 14.02.</w:t>
      </w:r>
      <w:r w:rsidR="00DB1C7E" w:rsidRPr="00DC5871">
        <w:rPr>
          <w:rFonts w:ascii="PT Astra Serif" w:hAnsi="PT Astra Serif"/>
          <w:sz w:val="28"/>
          <w:szCs w:val="28"/>
        </w:rPr>
        <w:t>20</w:t>
      </w:r>
      <w:r w:rsidRPr="00DC5871">
        <w:rPr>
          <w:rFonts w:ascii="PT Astra Serif" w:hAnsi="PT Astra Serif"/>
          <w:sz w:val="28"/>
          <w:szCs w:val="28"/>
        </w:rPr>
        <w:t>13 № 312 «О районном материнском (семейном) капитале на второго и последующих детей»</w:t>
      </w:r>
      <w:r w:rsidR="00DB1C7E" w:rsidRPr="00DC5871">
        <w:rPr>
          <w:rFonts w:ascii="PT Astra Serif" w:hAnsi="PT Astra Serif"/>
          <w:sz w:val="28"/>
          <w:szCs w:val="28"/>
        </w:rPr>
        <w:t xml:space="preserve"> установлено право на получение помощи из местного </w:t>
      </w:r>
      <w:r w:rsidR="00DB1C7E" w:rsidRPr="000D4488">
        <w:rPr>
          <w:rFonts w:ascii="PT Astra Serif" w:hAnsi="PT Astra Serif"/>
          <w:sz w:val="28"/>
          <w:szCs w:val="28"/>
        </w:rPr>
        <w:t>бюджета.</w:t>
      </w:r>
      <w:r w:rsidRPr="000D4488">
        <w:rPr>
          <w:rFonts w:ascii="PT Astra Serif" w:hAnsi="PT Astra Serif"/>
          <w:sz w:val="28"/>
          <w:szCs w:val="28"/>
        </w:rPr>
        <w:t xml:space="preserve"> </w:t>
      </w:r>
      <w:r w:rsidR="00643961" w:rsidRPr="000D4488">
        <w:rPr>
          <w:rFonts w:ascii="PT Astra Serif" w:hAnsi="PT Astra Serif"/>
          <w:sz w:val="28"/>
          <w:szCs w:val="28"/>
        </w:rPr>
        <w:t>За 201</w:t>
      </w:r>
      <w:r w:rsidR="007907B4" w:rsidRPr="000D4488">
        <w:rPr>
          <w:rFonts w:ascii="PT Astra Serif" w:hAnsi="PT Astra Serif"/>
          <w:sz w:val="28"/>
          <w:szCs w:val="28"/>
        </w:rPr>
        <w:t>9</w:t>
      </w:r>
      <w:r w:rsidR="000112C9" w:rsidRPr="000D4488">
        <w:rPr>
          <w:rFonts w:ascii="PT Astra Serif" w:hAnsi="PT Astra Serif"/>
          <w:sz w:val="28"/>
          <w:szCs w:val="28"/>
        </w:rPr>
        <w:t xml:space="preserve"> </w:t>
      </w:r>
      <w:r w:rsidR="00643961" w:rsidRPr="000D4488">
        <w:rPr>
          <w:rFonts w:ascii="PT Astra Serif" w:hAnsi="PT Astra Serif"/>
          <w:sz w:val="28"/>
          <w:szCs w:val="28"/>
        </w:rPr>
        <w:t>г</w:t>
      </w:r>
      <w:r w:rsidR="000112C9" w:rsidRPr="000D4488">
        <w:rPr>
          <w:rFonts w:ascii="PT Astra Serif" w:hAnsi="PT Astra Serif"/>
          <w:sz w:val="28"/>
          <w:szCs w:val="28"/>
        </w:rPr>
        <w:t>од</w:t>
      </w:r>
      <w:r w:rsidR="00643961" w:rsidRPr="000D4488">
        <w:rPr>
          <w:rFonts w:ascii="PT Astra Serif" w:hAnsi="PT Astra Serif"/>
          <w:sz w:val="28"/>
          <w:szCs w:val="28"/>
        </w:rPr>
        <w:t xml:space="preserve"> районный материнский капитал получили </w:t>
      </w:r>
      <w:r w:rsidR="000D4488" w:rsidRPr="000D4488">
        <w:rPr>
          <w:rFonts w:ascii="PT Astra Serif" w:hAnsi="PT Astra Serif"/>
          <w:sz w:val="28"/>
          <w:szCs w:val="28"/>
        </w:rPr>
        <w:t>151</w:t>
      </w:r>
      <w:r w:rsidR="00643961" w:rsidRPr="000D4488">
        <w:rPr>
          <w:rFonts w:ascii="PT Astra Serif" w:hAnsi="PT Astra Serif"/>
          <w:sz w:val="28"/>
          <w:szCs w:val="28"/>
        </w:rPr>
        <w:t xml:space="preserve"> человек на сумму </w:t>
      </w:r>
      <w:r w:rsidR="000D4488" w:rsidRPr="000D4488">
        <w:rPr>
          <w:rFonts w:ascii="PT Astra Serif" w:hAnsi="PT Astra Serif"/>
          <w:sz w:val="28"/>
          <w:szCs w:val="28"/>
        </w:rPr>
        <w:t>1600,9</w:t>
      </w:r>
      <w:r w:rsidR="005D1285" w:rsidRPr="000D4488">
        <w:rPr>
          <w:rFonts w:ascii="PT Astra Serif" w:hAnsi="PT Astra Serif"/>
        </w:rPr>
        <w:t xml:space="preserve"> </w:t>
      </w:r>
      <w:r w:rsidR="00643961" w:rsidRPr="000D4488">
        <w:rPr>
          <w:rFonts w:ascii="PT Astra Serif" w:hAnsi="PT Astra Serif"/>
          <w:sz w:val="28"/>
          <w:szCs w:val="28"/>
        </w:rPr>
        <w:t>тыс.  рублей.</w:t>
      </w:r>
    </w:p>
    <w:p w:rsidR="007E56AE" w:rsidRPr="00DC5871" w:rsidRDefault="00643961" w:rsidP="00C968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4488">
        <w:rPr>
          <w:rFonts w:ascii="PT Astra Serif" w:hAnsi="PT Astra Serif"/>
          <w:sz w:val="28"/>
          <w:szCs w:val="28"/>
        </w:rPr>
        <w:t>На конец 201</w:t>
      </w:r>
      <w:r w:rsidR="007907B4" w:rsidRPr="000D4488">
        <w:rPr>
          <w:rFonts w:ascii="PT Astra Serif" w:hAnsi="PT Astra Serif"/>
          <w:sz w:val="28"/>
          <w:szCs w:val="28"/>
        </w:rPr>
        <w:t>9</w:t>
      </w:r>
      <w:r w:rsidRPr="000D4488">
        <w:rPr>
          <w:rFonts w:ascii="PT Astra Serif" w:hAnsi="PT Astra Serif"/>
          <w:sz w:val="28"/>
          <w:szCs w:val="28"/>
        </w:rPr>
        <w:t xml:space="preserve"> года а</w:t>
      </w:r>
      <w:r w:rsidR="007E56AE" w:rsidRPr="000D4488">
        <w:rPr>
          <w:rFonts w:ascii="PT Astra Serif" w:hAnsi="PT Astra Serif"/>
          <w:sz w:val="28"/>
          <w:szCs w:val="28"/>
        </w:rPr>
        <w:t>дминистрацией было бесплатно предоставлен</w:t>
      </w:r>
      <w:r w:rsidRPr="000D4488">
        <w:rPr>
          <w:rFonts w:ascii="PT Astra Serif" w:hAnsi="PT Astra Serif"/>
          <w:sz w:val="28"/>
          <w:szCs w:val="28"/>
        </w:rPr>
        <w:t>о</w:t>
      </w:r>
      <w:r w:rsidR="007E56AE" w:rsidRPr="000D4488">
        <w:rPr>
          <w:rFonts w:ascii="PT Astra Serif" w:hAnsi="PT Astra Serif"/>
          <w:sz w:val="28"/>
          <w:szCs w:val="28"/>
        </w:rPr>
        <w:t xml:space="preserve"> в собственность гражданам, имеющим 3-х и более детей</w:t>
      </w:r>
      <w:r w:rsidRPr="000D4488">
        <w:rPr>
          <w:rFonts w:ascii="PT Astra Serif" w:hAnsi="PT Astra Serif"/>
          <w:sz w:val="28"/>
          <w:szCs w:val="28"/>
        </w:rPr>
        <w:t xml:space="preserve">, </w:t>
      </w:r>
      <w:r w:rsidR="000D4488" w:rsidRPr="000D4488">
        <w:rPr>
          <w:rFonts w:ascii="PT Astra Serif" w:hAnsi="PT Astra Serif"/>
          <w:sz w:val="28"/>
          <w:szCs w:val="28"/>
        </w:rPr>
        <w:t>314</w:t>
      </w:r>
      <w:r w:rsidR="007E56AE" w:rsidRPr="000D4488">
        <w:rPr>
          <w:rFonts w:ascii="PT Astra Serif" w:hAnsi="PT Astra Serif"/>
          <w:sz w:val="28"/>
          <w:szCs w:val="28"/>
        </w:rPr>
        <w:t xml:space="preserve"> земельных участк</w:t>
      </w:r>
      <w:r w:rsidR="00E92030" w:rsidRPr="000D4488">
        <w:rPr>
          <w:rFonts w:ascii="PT Astra Serif" w:hAnsi="PT Astra Serif"/>
          <w:sz w:val="28"/>
          <w:szCs w:val="28"/>
        </w:rPr>
        <w:t>ов</w:t>
      </w:r>
      <w:r w:rsidR="007E56AE" w:rsidRPr="000D4488">
        <w:rPr>
          <w:rFonts w:ascii="PT Astra Serif" w:hAnsi="PT Astra Serif"/>
          <w:sz w:val="28"/>
          <w:szCs w:val="28"/>
        </w:rPr>
        <w:t>.</w:t>
      </w:r>
    </w:p>
    <w:p w:rsidR="00D722CE" w:rsidRPr="00DC5871" w:rsidRDefault="00D722CE" w:rsidP="0091187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5871">
        <w:rPr>
          <w:rFonts w:ascii="PT Astra Serif" w:eastAsia="Times New Roman" w:hAnsi="PT Astra Serif"/>
          <w:sz w:val="28"/>
          <w:szCs w:val="28"/>
          <w:lang w:eastAsia="ru-RU"/>
        </w:rPr>
        <w:t xml:space="preserve">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рождений, обеспечение потребности семей с детьми в услугах дошкольного образования, улучшение жилищных условий семей. </w:t>
      </w:r>
    </w:p>
    <w:p w:rsidR="00C750DF" w:rsidRPr="00DC5871" w:rsidRDefault="007C0E22" w:rsidP="009118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 w:rsidRPr="00DC5871">
        <w:rPr>
          <w:rFonts w:ascii="PT Astra Serif" w:hAnsi="PT Astra Serif"/>
          <w:b/>
          <w:sz w:val="28"/>
          <w:szCs w:val="28"/>
          <w:u w:val="single"/>
        </w:rPr>
        <w:t>Энергосбережение и повышение энергетической эффективности</w:t>
      </w:r>
    </w:p>
    <w:p w:rsidR="00911873" w:rsidRPr="00DC5871" w:rsidRDefault="00911873" w:rsidP="00C968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871">
        <w:rPr>
          <w:rFonts w:ascii="PT Astra Serif" w:hAnsi="PT Astra Serif"/>
          <w:sz w:val="28"/>
          <w:szCs w:val="28"/>
        </w:rPr>
        <w:t xml:space="preserve">Несмотря на увеличение потребности в ресурсах по причине улучшения качества жизни населения и появления в быту современной энергоемкой техники, </w:t>
      </w:r>
      <w:r w:rsidR="00C968B6" w:rsidRPr="00DC5871">
        <w:rPr>
          <w:rFonts w:ascii="PT Astra Serif" w:hAnsi="PT Astra Serif"/>
          <w:sz w:val="28"/>
          <w:szCs w:val="28"/>
        </w:rPr>
        <w:t xml:space="preserve">уровень </w:t>
      </w:r>
      <w:r w:rsidRPr="00DC5871">
        <w:rPr>
          <w:rFonts w:ascii="PT Astra Serif" w:hAnsi="PT Astra Serif"/>
          <w:sz w:val="28"/>
          <w:szCs w:val="28"/>
        </w:rPr>
        <w:t>потребления ресурсов</w:t>
      </w:r>
      <w:r w:rsidR="00C968B6" w:rsidRPr="00DC5871">
        <w:rPr>
          <w:rFonts w:ascii="PT Astra Serif" w:hAnsi="PT Astra Serif"/>
          <w:sz w:val="28"/>
          <w:szCs w:val="28"/>
        </w:rPr>
        <w:t xml:space="preserve"> остается практически на том же уровне</w:t>
      </w:r>
      <w:r w:rsidRPr="00DC5871">
        <w:rPr>
          <w:rFonts w:ascii="PT Astra Serif" w:hAnsi="PT Astra Serif"/>
          <w:sz w:val="28"/>
          <w:szCs w:val="28"/>
        </w:rPr>
        <w:t>.</w:t>
      </w:r>
    </w:p>
    <w:p w:rsidR="006D5140" w:rsidRDefault="00A17B4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3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17B40" w:rsidRDefault="00A17B40" w:rsidP="00911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7B40" w:rsidSect="00EC11FA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FA" w:rsidRDefault="00AC69FA" w:rsidP="001722CA">
      <w:pPr>
        <w:spacing w:after="0" w:line="240" w:lineRule="auto"/>
      </w:pPr>
      <w:r>
        <w:separator/>
      </w:r>
    </w:p>
  </w:endnote>
  <w:endnote w:type="continuationSeparator" w:id="0">
    <w:p w:rsidR="00AC69FA" w:rsidRDefault="00AC69FA" w:rsidP="0017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FA" w:rsidRDefault="00AC69FA" w:rsidP="001722CA">
      <w:pPr>
        <w:spacing w:after="0" w:line="240" w:lineRule="auto"/>
      </w:pPr>
      <w:r>
        <w:separator/>
      </w:r>
    </w:p>
  </w:footnote>
  <w:footnote w:type="continuationSeparator" w:id="0">
    <w:p w:rsidR="00AC69FA" w:rsidRDefault="00AC69FA" w:rsidP="0017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136"/>
      <w:docPartObj>
        <w:docPartGallery w:val="Page Numbers (Top of Page)"/>
        <w:docPartUnique/>
      </w:docPartObj>
    </w:sdtPr>
    <w:sdtEndPr/>
    <w:sdtContent>
      <w:p w:rsidR="001722CA" w:rsidRDefault="00312A6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1F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722CA" w:rsidRDefault="001722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554"/>
    <w:multiLevelType w:val="hybridMultilevel"/>
    <w:tmpl w:val="A2924C88"/>
    <w:lvl w:ilvl="0" w:tplc="1B58821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1708B"/>
    <w:multiLevelType w:val="multilevel"/>
    <w:tmpl w:val="B7FAA6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2">
    <w:nsid w:val="1A58542B"/>
    <w:multiLevelType w:val="multilevel"/>
    <w:tmpl w:val="793455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2C"/>
    <w:rsid w:val="00000C57"/>
    <w:rsid w:val="00001BE5"/>
    <w:rsid w:val="000022D1"/>
    <w:rsid w:val="000025E8"/>
    <w:rsid w:val="000036E4"/>
    <w:rsid w:val="00006E9A"/>
    <w:rsid w:val="0000759D"/>
    <w:rsid w:val="000079E9"/>
    <w:rsid w:val="00010572"/>
    <w:rsid w:val="00010670"/>
    <w:rsid w:val="000112C9"/>
    <w:rsid w:val="000120A7"/>
    <w:rsid w:val="00012805"/>
    <w:rsid w:val="0001420B"/>
    <w:rsid w:val="00016673"/>
    <w:rsid w:val="00017B19"/>
    <w:rsid w:val="0002118B"/>
    <w:rsid w:val="00021C77"/>
    <w:rsid w:val="00022520"/>
    <w:rsid w:val="00024D16"/>
    <w:rsid w:val="0002674E"/>
    <w:rsid w:val="0003066A"/>
    <w:rsid w:val="0003145B"/>
    <w:rsid w:val="00031AE5"/>
    <w:rsid w:val="000341CC"/>
    <w:rsid w:val="00034A27"/>
    <w:rsid w:val="00037D57"/>
    <w:rsid w:val="000411AE"/>
    <w:rsid w:val="00046245"/>
    <w:rsid w:val="00047D1F"/>
    <w:rsid w:val="00052D2A"/>
    <w:rsid w:val="0005347B"/>
    <w:rsid w:val="00055BBC"/>
    <w:rsid w:val="00056596"/>
    <w:rsid w:val="00056D22"/>
    <w:rsid w:val="000714D2"/>
    <w:rsid w:val="00072E94"/>
    <w:rsid w:val="000772A8"/>
    <w:rsid w:val="00082423"/>
    <w:rsid w:val="00082E0F"/>
    <w:rsid w:val="0008774D"/>
    <w:rsid w:val="00090825"/>
    <w:rsid w:val="000955AE"/>
    <w:rsid w:val="000A310B"/>
    <w:rsid w:val="000A332A"/>
    <w:rsid w:val="000A4C42"/>
    <w:rsid w:val="000B0935"/>
    <w:rsid w:val="000B200E"/>
    <w:rsid w:val="000B20ED"/>
    <w:rsid w:val="000C1DB0"/>
    <w:rsid w:val="000C2851"/>
    <w:rsid w:val="000C3141"/>
    <w:rsid w:val="000C548F"/>
    <w:rsid w:val="000D0382"/>
    <w:rsid w:val="000D4488"/>
    <w:rsid w:val="000D52CF"/>
    <w:rsid w:val="000D762B"/>
    <w:rsid w:val="000D7CA1"/>
    <w:rsid w:val="000E04EA"/>
    <w:rsid w:val="000E14B9"/>
    <w:rsid w:val="000E3719"/>
    <w:rsid w:val="000E53BD"/>
    <w:rsid w:val="000E7C4E"/>
    <w:rsid w:val="000F380F"/>
    <w:rsid w:val="000F74E7"/>
    <w:rsid w:val="000F7E80"/>
    <w:rsid w:val="00101354"/>
    <w:rsid w:val="00101D57"/>
    <w:rsid w:val="00102A2C"/>
    <w:rsid w:val="00102D7D"/>
    <w:rsid w:val="001047B2"/>
    <w:rsid w:val="00106DD3"/>
    <w:rsid w:val="00107B6B"/>
    <w:rsid w:val="00113FA8"/>
    <w:rsid w:val="00114EA6"/>
    <w:rsid w:val="001254A1"/>
    <w:rsid w:val="00125D2D"/>
    <w:rsid w:val="001347C8"/>
    <w:rsid w:val="00137C76"/>
    <w:rsid w:val="00140CC6"/>
    <w:rsid w:val="00144824"/>
    <w:rsid w:val="001476CB"/>
    <w:rsid w:val="001517DB"/>
    <w:rsid w:val="00156811"/>
    <w:rsid w:val="00156C3B"/>
    <w:rsid w:val="00156EA8"/>
    <w:rsid w:val="00160D53"/>
    <w:rsid w:val="00170261"/>
    <w:rsid w:val="001719F4"/>
    <w:rsid w:val="001722CA"/>
    <w:rsid w:val="00174B6B"/>
    <w:rsid w:val="001768FC"/>
    <w:rsid w:val="00176CCC"/>
    <w:rsid w:val="001815B5"/>
    <w:rsid w:val="00181BBC"/>
    <w:rsid w:val="00183868"/>
    <w:rsid w:val="00191C62"/>
    <w:rsid w:val="00194BB9"/>
    <w:rsid w:val="00195874"/>
    <w:rsid w:val="001958AB"/>
    <w:rsid w:val="00196318"/>
    <w:rsid w:val="00197048"/>
    <w:rsid w:val="001A2B6E"/>
    <w:rsid w:val="001B1F17"/>
    <w:rsid w:val="001B45D3"/>
    <w:rsid w:val="001C1160"/>
    <w:rsid w:val="001C3C55"/>
    <w:rsid w:val="001C542D"/>
    <w:rsid w:val="001D183E"/>
    <w:rsid w:val="001D28D2"/>
    <w:rsid w:val="001E13A4"/>
    <w:rsid w:val="001E6C9F"/>
    <w:rsid w:val="001F1244"/>
    <w:rsid w:val="001F22AA"/>
    <w:rsid w:val="001F2973"/>
    <w:rsid w:val="001F2AA0"/>
    <w:rsid w:val="001F3D5C"/>
    <w:rsid w:val="001F72F7"/>
    <w:rsid w:val="002038B8"/>
    <w:rsid w:val="00206C2B"/>
    <w:rsid w:val="00215215"/>
    <w:rsid w:val="00215387"/>
    <w:rsid w:val="00221284"/>
    <w:rsid w:val="00224F05"/>
    <w:rsid w:val="00225A25"/>
    <w:rsid w:val="00225ACC"/>
    <w:rsid w:val="00232596"/>
    <w:rsid w:val="00237482"/>
    <w:rsid w:val="00237755"/>
    <w:rsid w:val="00242746"/>
    <w:rsid w:val="00242AE0"/>
    <w:rsid w:val="00243A4D"/>
    <w:rsid w:val="00243B27"/>
    <w:rsid w:val="00244D5A"/>
    <w:rsid w:val="00245285"/>
    <w:rsid w:val="002503F6"/>
    <w:rsid w:val="002562EC"/>
    <w:rsid w:val="00261C2D"/>
    <w:rsid w:val="00262C5A"/>
    <w:rsid w:val="00262FF2"/>
    <w:rsid w:val="00264EE5"/>
    <w:rsid w:val="0026596F"/>
    <w:rsid w:val="0027063B"/>
    <w:rsid w:val="00276CB3"/>
    <w:rsid w:val="00281AF3"/>
    <w:rsid w:val="00282399"/>
    <w:rsid w:val="00282AEA"/>
    <w:rsid w:val="0028684D"/>
    <w:rsid w:val="0028699C"/>
    <w:rsid w:val="00292840"/>
    <w:rsid w:val="002934E8"/>
    <w:rsid w:val="00293A78"/>
    <w:rsid w:val="00294568"/>
    <w:rsid w:val="00294F62"/>
    <w:rsid w:val="002A051D"/>
    <w:rsid w:val="002A1E7B"/>
    <w:rsid w:val="002A3E4A"/>
    <w:rsid w:val="002A4605"/>
    <w:rsid w:val="002A67F3"/>
    <w:rsid w:val="002B0A4F"/>
    <w:rsid w:val="002B5D44"/>
    <w:rsid w:val="002B78AD"/>
    <w:rsid w:val="002C6165"/>
    <w:rsid w:val="002D081F"/>
    <w:rsid w:val="002D4967"/>
    <w:rsid w:val="002D4CFD"/>
    <w:rsid w:val="002E50D1"/>
    <w:rsid w:val="002E7B65"/>
    <w:rsid w:val="002F4EC2"/>
    <w:rsid w:val="00304F8C"/>
    <w:rsid w:val="003056C4"/>
    <w:rsid w:val="003066BB"/>
    <w:rsid w:val="00310698"/>
    <w:rsid w:val="00310B20"/>
    <w:rsid w:val="00312A6E"/>
    <w:rsid w:val="0031531B"/>
    <w:rsid w:val="00315AE7"/>
    <w:rsid w:val="00316D1C"/>
    <w:rsid w:val="003223B3"/>
    <w:rsid w:val="0032303F"/>
    <w:rsid w:val="00323497"/>
    <w:rsid w:val="0032757D"/>
    <w:rsid w:val="0033197B"/>
    <w:rsid w:val="00333D11"/>
    <w:rsid w:val="00337D9E"/>
    <w:rsid w:val="0034035A"/>
    <w:rsid w:val="00352D94"/>
    <w:rsid w:val="00356611"/>
    <w:rsid w:val="00357CAB"/>
    <w:rsid w:val="00364319"/>
    <w:rsid w:val="003671BF"/>
    <w:rsid w:val="0037087D"/>
    <w:rsid w:val="0037561F"/>
    <w:rsid w:val="00377A8F"/>
    <w:rsid w:val="00377CF4"/>
    <w:rsid w:val="00382021"/>
    <w:rsid w:val="003908E5"/>
    <w:rsid w:val="00393D1F"/>
    <w:rsid w:val="00394822"/>
    <w:rsid w:val="003951D3"/>
    <w:rsid w:val="003A0067"/>
    <w:rsid w:val="003A0292"/>
    <w:rsid w:val="003A11D8"/>
    <w:rsid w:val="003B288C"/>
    <w:rsid w:val="003B423C"/>
    <w:rsid w:val="003B4EA5"/>
    <w:rsid w:val="003C0339"/>
    <w:rsid w:val="003C0CAC"/>
    <w:rsid w:val="003C4DC6"/>
    <w:rsid w:val="003C6343"/>
    <w:rsid w:val="003D06F6"/>
    <w:rsid w:val="003E3BED"/>
    <w:rsid w:val="003E3DCA"/>
    <w:rsid w:val="003E70A7"/>
    <w:rsid w:val="003F0061"/>
    <w:rsid w:val="003F4AB4"/>
    <w:rsid w:val="003F5159"/>
    <w:rsid w:val="003F7D9C"/>
    <w:rsid w:val="00400630"/>
    <w:rsid w:val="0040141C"/>
    <w:rsid w:val="0040367F"/>
    <w:rsid w:val="00403EAF"/>
    <w:rsid w:val="00403EC7"/>
    <w:rsid w:val="00407D46"/>
    <w:rsid w:val="004154B6"/>
    <w:rsid w:val="0042562D"/>
    <w:rsid w:val="00431DB8"/>
    <w:rsid w:val="00433B22"/>
    <w:rsid w:val="00434BA1"/>
    <w:rsid w:val="00440267"/>
    <w:rsid w:val="00450D2D"/>
    <w:rsid w:val="00461715"/>
    <w:rsid w:val="00462B68"/>
    <w:rsid w:val="00464961"/>
    <w:rsid w:val="00464CD1"/>
    <w:rsid w:val="00467EB8"/>
    <w:rsid w:val="004714B3"/>
    <w:rsid w:val="004749A9"/>
    <w:rsid w:val="0047569A"/>
    <w:rsid w:val="00475D8C"/>
    <w:rsid w:val="00477241"/>
    <w:rsid w:val="004773F9"/>
    <w:rsid w:val="00477CC0"/>
    <w:rsid w:val="00482BAB"/>
    <w:rsid w:val="004838D0"/>
    <w:rsid w:val="00484344"/>
    <w:rsid w:val="004843B8"/>
    <w:rsid w:val="00484E74"/>
    <w:rsid w:val="004868DB"/>
    <w:rsid w:val="00487085"/>
    <w:rsid w:val="00490344"/>
    <w:rsid w:val="00492B16"/>
    <w:rsid w:val="0049690B"/>
    <w:rsid w:val="004A0D58"/>
    <w:rsid w:val="004A17B0"/>
    <w:rsid w:val="004A3B49"/>
    <w:rsid w:val="004A7D77"/>
    <w:rsid w:val="004B33B3"/>
    <w:rsid w:val="004B4878"/>
    <w:rsid w:val="004B71B6"/>
    <w:rsid w:val="004C086F"/>
    <w:rsid w:val="004C4754"/>
    <w:rsid w:val="004D1BCF"/>
    <w:rsid w:val="004D6C1B"/>
    <w:rsid w:val="004E0E21"/>
    <w:rsid w:val="004E35DF"/>
    <w:rsid w:val="004E539C"/>
    <w:rsid w:val="004E5CC8"/>
    <w:rsid w:val="004E63A6"/>
    <w:rsid w:val="004E6AA0"/>
    <w:rsid w:val="004F09C4"/>
    <w:rsid w:val="004F3F80"/>
    <w:rsid w:val="004F6ED3"/>
    <w:rsid w:val="004F74F0"/>
    <w:rsid w:val="004F754D"/>
    <w:rsid w:val="0050468D"/>
    <w:rsid w:val="00504CAE"/>
    <w:rsid w:val="00507625"/>
    <w:rsid w:val="00510A07"/>
    <w:rsid w:val="005110E1"/>
    <w:rsid w:val="00512B53"/>
    <w:rsid w:val="00513B79"/>
    <w:rsid w:val="00514FF6"/>
    <w:rsid w:val="005163ED"/>
    <w:rsid w:val="00522BFB"/>
    <w:rsid w:val="00524C30"/>
    <w:rsid w:val="00526E4C"/>
    <w:rsid w:val="00532A9C"/>
    <w:rsid w:val="00533915"/>
    <w:rsid w:val="00534A3B"/>
    <w:rsid w:val="00541461"/>
    <w:rsid w:val="00543449"/>
    <w:rsid w:val="00544353"/>
    <w:rsid w:val="0054659E"/>
    <w:rsid w:val="00551A9E"/>
    <w:rsid w:val="0055371F"/>
    <w:rsid w:val="00554DC9"/>
    <w:rsid w:val="00556A4A"/>
    <w:rsid w:val="005614B4"/>
    <w:rsid w:val="005631EC"/>
    <w:rsid w:val="00566484"/>
    <w:rsid w:val="00567AF4"/>
    <w:rsid w:val="00567CAD"/>
    <w:rsid w:val="005717FA"/>
    <w:rsid w:val="00571B66"/>
    <w:rsid w:val="005730BB"/>
    <w:rsid w:val="0057537B"/>
    <w:rsid w:val="00576B21"/>
    <w:rsid w:val="00580AEF"/>
    <w:rsid w:val="005841D5"/>
    <w:rsid w:val="005875A2"/>
    <w:rsid w:val="00596637"/>
    <w:rsid w:val="005A26E9"/>
    <w:rsid w:val="005A3EB7"/>
    <w:rsid w:val="005A403F"/>
    <w:rsid w:val="005A49AC"/>
    <w:rsid w:val="005A7088"/>
    <w:rsid w:val="005B0C1E"/>
    <w:rsid w:val="005B14E6"/>
    <w:rsid w:val="005B19B0"/>
    <w:rsid w:val="005C44C3"/>
    <w:rsid w:val="005C44D1"/>
    <w:rsid w:val="005C7289"/>
    <w:rsid w:val="005D1285"/>
    <w:rsid w:val="005D2017"/>
    <w:rsid w:val="005D577C"/>
    <w:rsid w:val="005D6071"/>
    <w:rsid w:val="005E39FA"/>
    <w:rsid w:val="005E5FE2"/>
    <w:rsid w:val="005E65DB"/>
    <w:rsid w:val="005F38FC"/>
    <w:rsid w:val="005F460C"/>
    <w:rsid w:val="005F6D03"/>
    <w:rsid w:val="005F6DF7"/>
    <w:rsid w:val="00600150"/>
    <w:rsid w:val="00600335"/>
    <w:rsid w:val="00602464"/>
    <w:rsid w:val="006044A8"/>
    <w:rsid w:val="00607DBA"/>
    <w:rsid w:val="006147FC"/>
    <w:rsid w:val="00615F46"/>
    <w:rsid w:val="00616F93"/>
    <w:rsid w:val="00617BC0"/>
    <w:rsid w:val="00622001"/>
    <w:rsid w:val="0062227E"/>
    <w:rsid w:val="00625CFC"/>
    <w:rsid w:val="006314E6"/>
    <w:rsid w:val="0063695F"/>
    <w:rsid w:val="006402A8"/>
    <w:rsid w:val="00643961"/>
    <w:rsid w:val="00644FBF"/>
    <w:rsid w:val="00645556"/>
    <w:rsid w:val="0064775D"/>
    <w:rsid w:val="00657DC1"/>
    <w:rsid w:val="0066312E"/>
    <w:rsid w:val="00666727"/>
    <w:rsid w:val="00680161"/>
    <w:rsid w:val="00682040"/>
    <w:rsid w:val="00684686"/>
    <w:rsid w:val="006909FF"/>
    <w:rsid w:val="00692F18"/>
    <w:rsid w:val="006947B5"/>
    <w:rsid w:val="006948AD"/>
    <w:rsid w:val="00697098"/>
    <w:rsid w:val="006A4F8B"/>
    <w:rsid w:val="006A577E"/>
    <w:rsid w:val="006A5DC4"/>
    <w:rsid w:val="006A73E1"/>
    <w:rsid w:val="006B30A4"/>
    <w:rsid w:val="006C41C1"/>
    <w:rsid w:val="006C54DB"/>
    <w:rsid w:val="006C5A19"/>
    <w:rsid w:val="006D0CB9"/>
    <w:rsid w:val="006D4C9B"/>
    <w:rsid w:val="006D5140"/>
    <w:rsid w:val="006D5A47"/>
    <w:rsid w:val="006E19D7"/>
    <w:rsid w:val="006E2D1B"/>
    <w:rsid w:val="006E3E77"/>
    <w:rsid w:val="006E76E9"/>
    <w:rsid w:val="006F1A9C"/>
    <w:rsid w:val="006F24FD"/>
    <w:rsid w:val="006F7F72"/>
    <w:rsid w:val="00703841"/>
    <w:rsid w:val="007074F8"/>
    <w:rsid w:val="007157FC"/>
    <w:rsid w:val="00715BEB"/>
    <w:rsid w:val="00722104"/>
    <w:rsid w:val="00722B80"/>
    <w:rsid w:val="00723565"/>
    <w:rsid w:val="007254D6"/>
    <w:rsid w:val="007310BA"/>
    <w:rsid w:val="00734579"/>
    <w:rsid w:val="007353CD"/>
    <w:rsid w:val="00735C86"/>
    <w:rsid w:val="00743A8F"/>
    <w:rsid w:val="007474B3"/>
    <w:rsid w:val="007510AE"/>
    <w:rsid w:val="00751224"/>
    <w:rsid w:val="00753F44"/>
    <w:rsid w:val="00756690"/>
    <w:rsid w:val="00757854"/>
    <w:rsid w:val="00757872"/>
    <w:rsid w:val="007608C3"/>
    <w:rsid w:val="007613B9"/>
    <w:rsid w:val="007641DB"/>
    <w:rsid w:val="00771E06"/>
    <w:rsid w:val="007731C2"/>
    <w:rsid w:val="007736D4"/>
    <w:rsid w:val="0077707D"/>
    <w:rsid w:val="00777710"/>
    <w:rsid w:val="00782500"/>
    <w:rsid w:val="00784AEA"/>
    <w:rsid w:val="00785584"/>
    <w:rsid w:val="007907B4"/>
    <w:rsid w:val="00791E03"/>
    <w:rsid w:val="00794736"/>
    <w:rsid w:val="00796A96"/>
    <w:rsid w:val="007A15C2"/>
    <w:rsid w:val="007A3277"/>
    <w:rsid w:val="007A32D0"/>
    <w:rsid w:val="007B0351"/>
    <w:rsid w:val="007B14D3"/>
    <w:rsid w:val="007B1F5A"/>
    <w:rsid w:val="007B512E"/>
    <w:rsid w:val="007B6576"/>
    <w:rsid w:val="007B7AD2"/>
    <w:rsid w:val="007C0E22"/>
    <w:rsid w:val="007C148C"/>
    <w:rsid w:val="007C17CC"/>
    <w:rsid w:val="007C6C9C"/>
    <w:rsid w:val="007D0871"/>
    <w:rsid w:val="007D13E7"/>
    <w:rsid w:val="007D1D9A"/>
    <w:rsid w:val="007D241D"/>
    <w:rsid w:val="007D55FD"/>
    <w:rsid w:val="007D5CC7"/>
    <w:rsid w:val="007E48D4"/>
    <w:rsid w:val="007E56AE"/>
    <w:rsid w:val="007E6CE6"/>
    <w:rsid w:val="007F1CEC"/>
    <w:rsid w:val="007F2E3E"/>
    <w:rsid w:val="007F3C8A"/>
    <w:rsid w:val="007F4548"/>
    <w:rsid w:val="007F5155"/>
    <w:rsid w:val="007F607B"/>
    <w:rsid w:val="00800831"/>
    <w:rsid w:val="00803032"/>
    <w:rsid w:val="00805B92"/>
    <w:rsid w:val="008100D8"/>
    <w:rsid w:val="008108C7"/>
    <w:rsid w:val="0081189C"/>
    <w:rsid w:val="00812920"/>
    <w:rsid w:val="00815696"/>
    <w:rsid w:val="00815F84"/>
    <w:rsid w:val="00817F7C"/>
    <w:rsid w:val="00823579"/>
    <w:rsid w:val="00825039"/>
    <w:rsid w:val="00826922"/>
    <w:rsid w:val="00826BFF"/>
    <w:rsid w:val="00836AE6"/>
    <w:rsid w:val="00837A76"/>
    <w:rsid w:val="0084180B"/>
    <w:rsid w:val="00843085"/>
    <w:rsid w:val="00843260"/>
    <w:rsid w:val="00844B48"/>
    <w:rsid w:val="0084759A"/>
    <w:rsid w:val="00850F3C"/>
    <w:rsid w:val="00856580"/>
    <w:rsid w:val="00856B18"/>
    <w:rsid w:val="00857447"/>
    <w:rsid w:val="00860063"/>
    <w:rsid w:val="00860C84"/>
    <w:rsid w:val="008612BB"/>
    <w:rsid w:val="00865ED0"/>
    <w:rsid w:val="00876B7B"/>
    <w:rsid w:val="00876DDB"/>
    <w:rsid w:val="008818D8"/>
    <w:rsid w:val="00881E85"/>
    <w:rsid w:val="00884EBF"/>
    <w:rsid w:val="00890CFA"/>
    <w:rsid w:val="00890D7C"/>
    <w:rsid w:val="00891F70"/>
    <w:rsid w:val="008A4FB5"/>
    <w:rsid w:val="008A5F7F"/>
    <w:rsid w:val="008A6754"/>
    <w:rsid w:val="008A6AE7"/>
    <w:rsid w:val="008A702F"/>
    <w:rsid w:val="008B14F6"/>
    <w:rsid w:val="008B3137"/>
    <w:rsid w:val="008B633B"/>
    <w:rsid w:val="008B7B0F"/>
    <w:rsid w:val="008C17B3"/>
    <w:rsid w:val="008C1995"/>
    <w:rsid w:val="008C211B"/>
    <w:rsid w:val="008C22B8"/>
    <w:rsid w:val="008C2B9B"/>
    <w:rsid w:val="008C3970"/>
    <w:rsid w:val="008D0579"/>
    <w:rsid w:val="008D41E1"/>
    <w:rsid w:val="008D69B0"/>
    <w:rsid w:val="008D6F9B"/>
    <w:rsid w:val="008E0865"/>
    <w:rsid w:val="008E4D59"/>
    <w:rsid w:val="008E4E0B"/>
    <w:rsid w:val="008F102B"/>
    <w:rsid w:val="008F1371"/>
    <w:rsid w:val="008F36DA"/>
    <w:rsid w:val="008F54A3"/>
    <w:rsid w:val="008F5A39"/>
    <w:rsid w:val="008F7FA3"/>
    <w:rsid w:val="00900AFF"/>
    <w:rsid w:val="00901264"/>
    <w:rsid w:val="00902495"/>
    <w:rsid w:val="009024E7"/>
    <w:rsid w:val="00902FEA"/>
    <w:rsid w:val="00905BD3"/>
    <w:rsid w:val="009060DB"/>
    <w:rsid w:val="00906531"/>
    <w:rsid w:val="0090791D"/>
    <w:rsid w:val="00911873"/>
    <w:rsid w:val="009166C5"/>
    <w:rsid w:val="009250C8"/>
    <w:rsid w:val="00925CBC"/>
    <w:rsid w:val="00927AB7"/>
    <w:rsid w:val="009300D6"/>
    <w:rsid w:val="009308AB"/>
    <w:rsid w:val="009379A5"/>
    <w:rsid w:val="00940051"/>
    <w:rsid w:val="00940866"/>
    <w:rsid w:val="00942E0B"/>
    <w:rsid w:val="009443B8"/>
    <w:rsid w:val="00944C1D"/>
    <w:rsid w:val="009456C1"/>
    <w:rsid w:val="00945BDC"/>
    <w:rsid w:val="00950F16"/>
    <w:rsid w:val="00953AD3"/>
    <w:rsid w:val="0095445B"/>
    <w:rsid w:val="00955376"/>
    <w:rsid w:val="009576D4"/>
    <w:rsid w:val="00960042"/>
    <w:rsid w:val="00960726"/>
    <w:rsid w:val="00965645"/>
    <w:rsid w:val="00967950"/>
    <w:rsid w:val="00977E3A"/>
    <w:rsid w:val="00980414"/>
    <w:rsid w:val="009842FC"/>
    <w:rsid w:val="009855B6"/>
    <w:rsid w:val="0099162D"/>
    <w:rsid w:val="009A026B"/>
    <w:rsid w:val="009A4A3A"/>
    <w:rsid w:val="009A4CD6"/>
    <w:rsid w:val="009A57E4"/>
    <w:rsid w:val="009A6A89"/>
    <w:rsid w:val="009A6CBD"/>
    <w:rsid w:val="009B04E8"/>
    <w:rsid w:val="009B1302"/>
    <w:rsid w:val="009B2557"/>
    <w:rsid w:val="009B2EC7"/>
    <w:rsid w:val="009B3D8A"/>
    <w:rsid w:val="009B4459"/>
    <w:rsid w:val="009B5AA7"/>
    <w:rsid w:val="009C21E8"/>
    <w:rsid w:val="009C23E4"/>
    <w:rsid w:val="009C37DD"/>
    <w:rsid w:val="009C76FD"/>
    <w:rsid w:val="009D08FE"/>
    <w:rsid w:val="009D0BA9"/>
    <w:rsid w:val="009D1D77"/>
    <w:rsid w:val="009D267A"/>
    <w:rsid w:val="009D3695"/>
    <w:rsid w:val="009D5B2C"/>
    <w:rsid w:val="009D6C60"/>
    <w:rsid w:val="009D6C6E"/>
    <w:rsid w:val="009E0B51"/>
    <w:rsid w:val="009E0ECE"/>
    <w:rsid w:val="009E21DB"/>
    <w:rsid w:val="009E27CD"/>
    <w:rsid w:val="009E59E4"/>
    <w:rsid w:val="009E7713"/>
    <w:rsid w:val="009E7EB9"/>
    <w:rsid w:val="009F082C"/>
    <w:rsid w:val="009F1520"/>
    <w:rsid w:val="009F27F7"/>
    <w:rsid w:val="00A01669"/>
    <w:rsid w:val="00A02B06"/>
    <w:rsid w:val="00A03F92"/>
    <w:rsid w:val="00A11271"/>
    <w:rsid w:val="00A11E8D"/>
    <w:rsid w:val="00A1236E"/>
    <w:rsid w:val="00A12DE1"/>
    <w:rsid w:val="00A14D8C"/>
    <w:rsid w:val="00A16CBF"/>
    <w:rsid w:val="00A175CB"/>
    <w:rsid w:val="00A17B40"/>
    <w:rsid w:val="00A2183C"/>
    <w:rsid w:val="00A27562"/>
    <w:rsid w:val="00A276C0"/>
    <w:rsid w:val="00A32F48"/>
    <w:rsid w:val="00A36450"/>
    <w:rsid w:val="00A41548"/>
    <w:rsid w:val="00A418C1"/>
    <w:rsid w:val="00A42781"/>
    <w:rsid w:val="00A43650"/>
    <w:rsid w:val="00A45177"/>
    <w:rsid w:val="00A46908"/>
    <w:rsid w:val="00A4749A"/>
    <w:rsid w:val="00A505CD"/>
    <w:rsid w:val="00A50DBE"/>
    <w:rsid w:val="00A55AAF"/>
    <w:rsid w:val="00A632CB"/>
    <w:rsid w:val="00A63E1B"/>
    <w:rsid w:val="00A63EB5"/>
    <w:rsid w:val="00A647C0"/>
    <w:rsid w:val="00A705FE"/>
    <w:rsid w:val="00A71AFF"/>
    <w:rsid w:val="00A72234"/>
    <w:rsid w:val="00A75713"/>
    <w:rsid w:val="00A76178"/>
    <w:rsid w:val="00A772AC"/>
    <w:rsid w:val="00A86421"/>
    <w:rsid w:val="00A87582"/>
    <w:rsid w:val="00A90F72"/>
    <w:rsid w:val="00A9136D"/>
    <w:rsid w:val="00A92EDF"/>
    <w:rsid w:val="00A9478C"/>
    <w:rsid w:val="00A95C5A"/>
    <w:rsid w:val="00AB1101"/>
    <w:rsid w:val="00AB436F"/>
    <w:rsid w:val="00AB4FE9"/>
    <w:rsid w:val="00AC69FA"/>
    <w:rsid w:val="00AD06F6"/>
    <w:rsid w:val="00AD4624"/>
    <w:rsid w:val="00AD60D3"/>
    <w:rsid w:val="00AD6D9E"/>
    <w:rsid w:val="00AD73E5"/>
    <w:rsid w:val="00AE0CD7"/>
    <w:rsid w:val="00AE4085"/>
    <w:rsid w:val="00AE6564"/>
    <w:rsid w:val="00AE7962"/>
    <w:rsid w:val="00AF0D8D"/>
    <w:rsid w:val="00AF3671"/>
    <w:rsid w:val="00AF411E"/>
    <w:rsid w:val="00AF690C"/>
    <w:rsid w:val="00AF69E5"/>
    <w:rsid w:val="00AF7CEA"/>
    <w:rsid w:val="00B0036A"/>
    <w:rsid w:val="00B00BD2"/>
    <w:rsid w:val="00B02C68"/>
    <w:rsid w:val="00B03253"/>
    <w:rsid w:val="00B0336C"/>
    <w:rsid w:val="00B0477B"/>
    <w:rsid w:val="00B07D07"/>
    <w:rsid w:val="00B1127C"/>
    <w:rsid w:val="00B121CE"/>
    <w:rsid w:val="00B151C1"/>
    <w:rsid w:val="00B15ACA"/>
    <w:rsid w:val="00B21089"/>
    <w:rsid w:val="00B2449B"/>
    <w:rsid w:val="00B24DAB"/>
    <w:rsid w:val="00B25A09"/>
    <w:rsid w:val="00B262D6"/>
    <w:rsid w:val="00B26B05"/>
    <w:rsid w:val="00B26E4A"/>
    <w:rsid w:val="00B314AD"/>
    <w:rsid w:val="00B37A0B"/>
    <w:rsid w:val="00B40DA2"/>
    <w:rsid w:val="00B4174D"/>
    <w:rsid w:val="00B4187A"/>
    <w:rsid w:val="00B422C9"/>
    <w:rsid w:val="00B46430"/>
    <w:rsid w:val="00B46B69"/>
    <w:rsid w:val="00B476AF"/>
    <w:rsid w:val="00B5163F"/>
    <w:rsid w:val="00B52E4B"/>
    <w:rsid w:val="00B55240"/>
    <w:rsid w:val="00B55F97"/>
    <w:rsid w:val="00B64348"/>
    <w:rsid w:val="00B7082C"/>
    <w:rsid w:val="00B711FA"/>
    <w:rsid w:val="00B712B9"/>
    <w:rsid w:val="00B714AA"/>
    <w:rsid w:val="00B7230A"/>
    <w:rsid w:val="00B72D03"/>
    <w:rsid w:val="00B760D4"/>
    <w:rsid w:val="00B76AA2"/>
    <w:rsid w:val="00B80FC2"/>
    <w:rsid w:val="00B82460"/>
    <w:rsid w:val="00B82B87"/>
    <w:rsid w:val="00B87CBD"/>
    <w:rsid w:val="00B9195A"/>
    <w:rsid w:val="00B926DC"/>
    <w:rsid w:val="00B97EAB"/>
    <w:rsid w:val="00BA29F9"/>
    <w:rsid w:val="00BA5871"/>
    <w:rsid w:val="00BA5F9E"/>
    <w:rsid w:val="00BA6384"/>
    <w:rsid w:val="00BB05BE"/>
    <w:rsid w:val="00BB0A5F"/>
    <w:rsid w:val="00BB23C6"/>
    <w:rsid w:val="00BB2AEE"/>
    <w:rsid w:val="00BB4468"/>
    <w:rsid w:val="00BB44DB"/>
    <w:rsid w:val="00BB5AC7"/>
    <w:rsid w:val="00BC23EF"/>
    <w:rsid w:val="00BC3975"/>
    <w:rsid w:val="00BD4F29"/>
    <w:rsid w:val="00BD571C"/>
    <w:rsid w:val="00BE02B2"/>
    <w:rsid w:val="00BE2811"/>
    <w:rsid w:val="00BE2B8D"/>
    <w:rsid w:val="00BE3F77"/>
    <w:rsid w:val="00BE5199"/>
    <w:rsid w:val="00BF16D9"/>
    <w:rsid w:val="00BF2B8D"/>
    <w:rsid w:val="00BF4210"/>
    <w:rsid w:val="00BF7878"/>
    <w:rsid w:val="00C05381"/>
    <w:rsid w:val="00C073A9"/>
    <w:rsid w:val="00C10ADE"/>
    <w:rsid w:val="00C1361C"/>
    <w:rsid w:val="00C15FBD"/>
    <w:rsid w:val="00C16AB3"/>
    <w:rsid w:val="00C16EA9"/>
    <w:rsid w:val="00C2252E"/>
    <w:rsid w:val="00C2383B"/>
    <w:rsid w:val="00C246BE"/>
    <w:rsid w:val="00C2690D"/>
    <w:rsid w:val="00C2740D"/>
    <w:rsid w:val="00C27C2D"/>
    <w:rsid w:val="00C3401C"/>
    <w:rsid w:val="00C42D07"/>
    <w:rsid w:val="00C4438F"/>
    <w:rsid w:val="00C4738F"/>
    <w:rsid w:val="00C47C48"/>
    <w:rsid w:val="00C518B0"/>
    <w:rsid w:val="00C53348"/>
    <w:rsid w:val="00C53B45"/>
    <w:rsid w:val="00C54269"/>
    <w:rsid w:val="00C548B8"/>
    <w:rsid w:val="00C55E9E"/>
    <w:rsid w:val="00C57624"/>
    <w:rsid w:val="00C60BC3"/>
    <w:rsid w:val="00C636D5"/>
    <w:rsid w:val="00C66AE3"/>
    <w:rsid w:val="00C66CB6"/>
    <w:rsid w:val="00C67CA0"/>
    <w:rsid w:val="00C67F68"/>
    <w:rsid w:val="00C70822"/>
    <w:rsid w:val="00C750DF"/>
    <w:rsid w:val="00C764F6"/>
    <w:rsid w:val="00C820E0"/>
    <w:rsid w:val="00C8379A"/>
    <w:rsid w:val="00C86F2F"/>
    <w:rsid w:val="00C9355E"/>
    <w:rsid w:val="00C9427A"/>
    <w:rsid w:val="00C9469E"/>
    <w:rsid w:val="00C94AF5"/>
    <w:rsid w:val="00C968B6"/>
    <w:rsid w:val="00CA0472"/>
    <w:rsid w:val="00CA167B"/>
    <w:rsid w:val="00CA3820"/>
    <w:rsid w:val="00CA4056"/>
    <w:rsid w:val="00CA678B"/>
    <w:rsid w:val="00CA67B2"/>
    <w:rsid w:val="00CA6FDE"/>
    <w:rsid w:val="00CB2968"/>
    <w:rsid w:val="00CB37A6"/>
    <w:rsid w:val="00CB4378"/>
    <w:rsid w:val="00CC1FA0"/>
    <w:rsid w:val="00CD07A8"/>
    <w:rsid w:val="00CD183D"/>
    <w:rsid w:val="00CD3EE6"/>
    <w:rsid w:val="00CD545B"/>
    <w:rsid w:val="00CD5AAC"/>
    <w:rsid w:val="00CD7445"/>
    <w:rsid w:val="00CE3A62"/>
    <w:rsid w:val="00CE5314"/>
    <w:rsid w:val="00CF1909"/>
    <w:rsid w:val="00CF22ED"/>
    <w:rsid w:val="00CF3B5B"/>
    <w:rsid w:val="00CF5189"/>
    <w:rsid w:val="00CF5A38"/>
    <w:rsid w:val="00D02852"/>
    <w:rsid w:val="00D032A5"/>
    <w:rsid w:val="00D046BF"/>
    <w:rsid w:val="00D04CBF"/>
    <w:rsid w:val="00D10259"/>
    <w:rsid w:val="00D15A9B"/>
    <w:rsid w:val="00D24911"/>
    <w:rsid w:val="00D26DF7"/>
    <w:rsid w:val="00D2791F"/>
    <w:rsid w:val="00D307EC"/>
    <w:rsid w:val="00D32929"/>
    <w:rsid w:val="00D3677F"/>
    <w:rsid w:val="00D41834"/>
    <w:rsid w:val="00D44E50"/>
    <w:rsid w:val="00D45D72"/>
    <w:rsid w:val="00D46A93"/>
    <w:rsid w:val="00D50708"/>
    <w:rsid w:val="00D5249A"/>
    <w:rsid w:val="00D54FF4"/>
    <w:rsid w:val="00D55B85"/>
    <w:rsid w:val="00D62CD0"/>
    <w:rsid w:val="00D70189"/>
    <w:rsid w:val="00D707D5"/>
    <w:rsid w:val="00D70F90"/>
    <w:rsid w:val="00D70F99"/>
    <w:rsid w:val="00D722CE"/>
    <w:rsid w:val="00D800CE"/>
    <w:rsid w:val="00D803AC"/>
    <w:rsid w:val="00D813E2"/>
    <w:rsid w:val="00D81654"/>
    <w:rsid w:val="00D8412A"/>
    <w:rsid w:val="00D92939"/>
    <w:rsid w:val="00D92D2E"/>
    <w:rsid w:val="00D950D1"/>
    <w:rsid w:val="00D95873"/>
    <w:rsid w:val="00D975FD"/>
    <w:rsid w:val="00DA2B56"/>
    <w:rsid w:val="00DA3713"/>
    <w:rsid w:val="00DA7BB7"/>
    <w:rsid w:val="00DB1C7E"/>
    <w:rsid w:val="00DB3385"/>
    <w:rsid w:val="00DB39AB"/>
    <w:rsid w:val="00DB4B77"/>
    <w:rsid w:val="00DC0227"/>
    <w:rsid w:val="00DC15C5"/>
    <w:rsid w:val="00DC216C"/>
    <w:rsid w:val="00DC507E"/>
    <w:rsid w:val="00DC5871"/>
    <w:rsid w:val="00DC6181"/>
    <w:rsid w:val="00DC7320"/>
    <w:rsid w:val="00DC7E32"/>
    <w:rsid w:val="00DD0B76"/>
    <w:rsid w:val="00DD0E98"/>
    <w:rsid w:val="00DE06AB"/>
    <w:rsid w:val="00DE3901"/>
    <w:rsid w:val="00DE415E"/>
    <w:rsid w:val="00DE577C"/>
    <w:rsid w:val="00DE5F69"/>
    <w:rsid w:val="00DE6FA3"/>
    <w:rsid w:val="00DE75BA"/>
    <w:rsid w:val="00DF0C1C"/>
    <w:rsid w:val="00DF262C"/>
    <w:rsid w:val="00DF311B"/>
    <w:rsid w:val="00DF5F6D"/>
    <w:rsid w:val="00DF6EEE"/>
    <w:rsid w:val="00E1232C"/>
    <w:rsid w:val="00E130F1"/>
    <w:rsid w:val="00E13DB8"/>
    <w:rsid w:val="00E16D6F"/>
    <w:rsid w:val="00E22723"/>
    <w:rsid w:val="00E22ECF"/>
    <w:rsid w:val="00E250C3"/>
    <w:rsid w:val="00E30234"/>
    <w:rsid w:val="00E31669"/>
    <w:rsid w:val="00E325AD"/>
    <w:rsid w:val="00E339E8"/>
    <w:rsid w:val="00E34748"/>
    <w:rsid w:val="00E36A95"/>
    <w:rsid w:val="00E4505A"/>
    <w:rsid w:val="00E5331A"/>
    <w:rsid w:val="00E548A2"/>
    <w:rsid w:val="00E60C72"/>
    <w:rsid w:val="00E617FE"/>
    <w:rsid w:val="00E63D12"/>
    <w:rsid w:val="00E64391"/>
    <w:rsid w:val="00E667B6"/>
    <w:rsid w:val="00E67107"/>
    <w:rsid w:val="00E6737B"/>
    <w:rsid w:val="00E756EA"/>
    <w:rsid w:val="00E765BD"/>
    <w:rsid w:val="00E76B11"/>
    <w:rsid w:val="00E801C8"/>
    <w:rsid w:val="00E820F7"/>
    <w:rsid w:val="00E860A2"/>
    <w:rsid w:val="00E86A64"/>
    <w:rsid w:val="00E92030"/>
    <w:rsid w:val="00E92153"/>
    <w:rsid w:val="00E92267"/>
    <w:rsid w:val="00EA0B50"/>
    <w:rsid w:val="00EA287F"/>
    <w:rsid w:val="00EA359F"/>
    <w:rsid w:val="00EA54D9"/>
    <w:rsid w:val="00EB221A"/>
    <w:rsid w:val="00EB38E0"/>
    <w:rsid w:val="00EB3B76"/>
    <w:rsid w:val="00EB56B4"/>
    <w:rsid w:val="00EC11FA"/>
    <w:rsid w:val="00EC4D96"/>
    <w:rsid w:val="00EC6E30"/>
    <w:rsid w:val="00EC79DE"/>
    <w:rsid w:val="00ED6A58"/>
    <w:rsid w:val="00ED7914"/>
    <w:rsid w:val="00EE4609"/>
    <w:rsid w:val="00EE5E48"/>
    <w:rsid w:val="00EE7C46"/>
    <w:rsid w:val="00EF309B"/>
    <w:rsid w:val="00F013E4"/>
    <w:rsid w:val="00F01741"/>
    <w:rsid w:val="00F05D11"/>
    <w:rsid w:val="00F06BB7"/>
    <w:rsid w:val="00F078E3"/>
    <w:rsid w:val="00F10992"/>
    <w:rsid w:val="00F13D94"/>
    <w:rsid w:val="00F140C7"/>
    <w:rsid w:val="00F1681D"/>
    <w:rsid w:val="00F21DD8"/>
    <w:rsid w:val="00F222E8"/>
    <w:rsid w:val="00F2313D"/>
    <w:rsid w:val="00F25D90"/>
    <w:rsid w:val="00F26160"/>
    <w:rsid w:val="00F26BAA"/>
    <w:rsid w:val="00F2751B"/>
    <w:rsid w:val="00F275D6"/>
    <w:rsid w:val="00F30F9F"/>
    <w:rsid w:val="00F32709"/>
    <w:rsid w:val="00F3285B"/>
    <w:rsid w:val="00F33B20"/>
    <w:rsid w:val="00F345DF"/>
    <w:rsid w:val="00F34C63"/>
    <w:rsid w:val="00F34F9F"/>
    <w:rsid w:val="00F4063F"/>
    <w:rsid w:val="00F409F1"/>
    <w:rsid w:val="00F42ACC"/>
    <w:rsid w:val="00F42EB7"/>
    <w:rsid w:val="00F47A33"/>
    <w:rsid w:val="00F47BFF"/>
    <w:rsid w:val="00F55D1F"/>
    <w:rsid w:val="00F56709"/>
    <w:rsid w:val="00F56A2C"/>
    <w:rsid w:val="00F56F21"/>
    <w:rsid w:val="00F6045D"/>
    <w:rsid w:val="00F60CF8"/>
    <w:rsid w:val="00F622A5"/>
    <w:rsid w:val="00F6509D"/>
    <w:rsid w:val="00F6711B"/>
    <w:rsid w:val="00F71C2D"/>
    <w:rsid w:val="00F765CD"/>
    <w:rsid w:val="00F81BB7"/>
    <w:rsid w:val="00F8798C"/>
    <w:rsid w:val="00F87D7B"/>
    <w:rsid w:val="00F967B3"/>
    <w:rsid w:val="00F977AD"/>
    <w:rsid w:val="00FA2C9B"/>
    <w:rsid w:val="00FA79CC"/>
    <w:rsid w:val="00FA7E38"/>
    <w:rsid w:val="00FB1571"/>
    <w:rsid w:val="00FB1E58"/>
    <w:rsid w:val="00FB2A80"/>
    <w:rsid w:val="00FB3819"/>
    <w:rsid w:val="00FB7C48"/>
    <w:rsid w:val="00FC19F2"/>
    <w:rsid w:val="00FC2521"/>
    <w:rsid w:val="00FC2A07"/>
    <w:rsid w:val="00FD1E44"/>
    <w:rsid w:val="00FD2A64"/>
    <w:rsid w:val="00FD2DDB"/>
    <w:rsid w:val="00FD595A"/>
    <w:rsid w:val="00FE0C80"/>
    <w:rsid w:val="00FE0F0B"/>
    <w:rsid w:val="00FE15DC"/>
    <w:rsid w:val="00FE4EF8"/>
    <w:rsid w:val="00FE6F8E"/>
    <w:rsid w:val="00FF04DB"/>
    <w:rsid w:val="00FF14CB"/>
    <w:rsid w:val="00FF1ECD"/>
    <w:rsid w:val="00FF1F44"/>
    <w:rsid w:val="00FF2595"/>
    <w:rsid w:val="00FF5BE2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8C"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13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B0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3B2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1"/>
    <w:semiHidden/>
    <w:rsid w:val="00890C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uiPriority w:val="99"/>
    <w:semiHidden/>
    <w:rsid w:val="00890CFA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4"/>
    <w:semiHidden/>
    <w:locked/>
    <w:rsid w:val="00890CFA"/>
    <w:rPr>
      <w:rFonts w:ascii="Calibri" w:eastAsia="Calibri" w:hAnsi="Calibri" w:cs="Times New Roman"/>
    </w:rPr>
  </w:style>
  <w:style w:type="paragraph" w:styleId="a6">
    <w:name w:val="No Spacing"/>
    <w:link w:val="a7"/>
    <w:qFormat/>
    <w:rsid w:val="00D975FD"/>
    <w:pPr>
      <w:ind w:firstLine="0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locked/>
    <w:rsid w:val="00D975FD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rsid w:val="00F07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CA67B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A6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BE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43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7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22C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17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722CA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41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hyperlink" Target="https://kimovsk.tularegion.ru" TargetMode="External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image" Target="../media/image3.jpeg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Число субъектов малого и среднего предпринимательства на 10000 человек, ед.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C00000"/>
                </a:gs>
                <a:gs pos="64999">
                  <a:srgbClr val="F0EBD5"/>
                </a:gs>
                <a:gs pos="100000">
                  <a:srgbClr val="C000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6203703703703897E-2"/>
                  <c:y val="-7.5396825396826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83E-2"/>
                  <c:y val="-7.142857142857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722E-2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327</c:v>
                </c:pt>
                <c:pt idx="1">
                  <c:v>356.8</c:v>
                </c:pt>
                <c:pt idx="2">
                  <c:v>352.2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7418880"/>
        <c:axId val="214144896"/>
        <c:axId val="0"/>
      </c:bar3DChart>
      <c:catAx>
        <c:axId val="16741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144896"/>
        <c:crosses val="autoZero"/>
        <c:auto val="1"/>
        <c:lblAlgn val="ctr"/>
        <c:lblOffset val="100"/>
        <c:noMultiLvlLbl val="0"/>
      </c:catAx>
      <c:valAx>
        <c:axId val="214144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418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Уровень фактической обеспеченности учреждениями культуры,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Библиотеки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935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745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72.2</c:v>
                </c:pt>
                <c:pt idx="1">
                  <c:v>70.2</c:v>
                </c:pt>
                <c:pt idx="2">
                  <c:v>70.2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Клубы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81</a:t>
                    </a:r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79.8</c:v>
                </c:pt>
                <c:pt idx="1">
                  <c:v>81</c:v>
                </c:pt>
                <c:pt idx="2">
                  <c:v>78.599999999999994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152896"/>
        <c:axId val="217722880"/>
        <c:axId val="214959424"/>
      </c:bar3DChart>
      <c:catAx>
        <c:axId val="21515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7722880"/>
        <c:crosses val="autoZero"/>
        <c:auto val="1"/>
        <c:lblAlgn val="ctr"/>
        <c:lblOffset val="100"/>
        <c:noMultiLvlLbl val="0"/>
      </c:catAx>
      <c:valAx>
        <c:axId val="217722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152896"/>
        <c:crosses val="autoZero"/>
        <c:crossBetween val="between"/>
      </c:valAx>
      <c:serAx>
        <c:axId val="214959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17722880"/>
        <c:crosses val="autoZero"/>
      </c:ser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населения систематически занимающегося физической культурой и спортом,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3.0092592592592591E-2"/>
                  <c:y val="-0.238095238095240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3333333333333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891E-2"/>
                  <c:y val="-0.32539682539683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35.200000000000003</c:v>
                </c:pt>
                <c:pt idx="1">
                  <c:v>38.6</c:v>
                </c:pt>
                <c:pt idx="2">
                  <c:v>39.5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18435968"/>
        <c:axId val="218438656"/>
        <c:axId val="0"/>
      </c:bar3DChart>
      <c:catAx>
        <c:axId val="21843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438656"/>
        <c:crosses val="autoZero"/>
        <c:auto val="1"/>
        <c:lblAlgn val="ctr"/>
        <c:lblOffset val="100"/>
        <c:noMultiLvlLbl val="0"/>
      </c:catAx>
      <c:valAx>
        <c:axId val="21843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4359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>
      <a:bevelT w="0" h="165100"/>
      <a:bevelB w="88900" h="120650"/>
    </a:sp3d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обучающихся, систематически занимающихся физической культурой,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8252E-2"/>
                  <c:y val="-0.27777777777778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0158730158730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891E-2"/>
                  <c:y val="-0.35317460317460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81.599999999999994</c:v>
                </c:pt>
                <c:pt idx="1">
                  <c:v>89.7</c:v>
                </c:pt>
                <c:pt idx="2">
                  <c:v>89.9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18458368"/>
        <c:axId val="218473600"/>
        <c:axId val="0"/>
      </c:bar3DChart>
      <c:catAx>
        <c:axId val="21845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473600"/>
        <c:crosses val="autoZero"/>
        <c:auto val="1"/>
        <c:lblAlgn val="ctr"/>
        <c:lblOffset val="100"/>
        <c:noMultiLvlLbl val="0"/>
      </c:catAx>
      <c:valAx>
        <c:axId val="218473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4583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 b="1" i="0" u="none" strike="noStrike" baseline="0">
                <a:latin typeface="PT Astra Serif" panose="020A0603040505020204" pitchFamily="18" charset="-52"/>
                <a:ea typeface="PT Astra Serif" panose="020A0603040505020204" pitchFamily="18" charset="-52"/>
              </a:rPr>
              <a:t>Общая площадь жилых помещений, приходящихся на 1 жителя, кв.м.</a:t>
            </a:r>
            <a:endParaRPr lang="ru-RU" sz="1100"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14814814814814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07E-2"/>
                  <c:y val="-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492E-2"/>
                  <c:y val="-4.365079365079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3019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32.15</c:v>
                </c:pt>
                <c:pt idx="1">
                  <c:v>31.4</c:v>
                </c:pt>
                <c:pt idx="2">
                  <c:v>31.7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3129984"/>
        <c:axId val="223141888"/>
        <c:axId val="0"/>
      </c:bar3DChart>
      <c:catAx>
        <c:axId val="2231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141888"/>
        <c:crosses val="autoZero"/>
        <c:auto val="1"/>
        <c:lblAlgn val="ctr"/>
        <c:lblOffset val="100"/>
        <c:noMultiLvlLbl val="0"/>
      </c:catAx>
      <c:valAx>
        <c:axId val="22314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31299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многоквартирных домов, в которых выбрали один из способов управления многоквартирными домами,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0">
          <a:solidFill>
            <a:schemeClr val="tx1"/>
          </a:solidFill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2.3148148148148147E-3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23149056"/>
        <c:axId val="223152000"/>
        <c:axId val="214162944"/>
      </c:bar3DChart>
      <c:catAx>
        <c:axId val="22314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3152000"/>
        <c:crosses val="autoZero"/>
        <c:auto val="1"/>
        <c:lblAlgn val="ctr"/>
        <c:lblOffset val="100"/>
        <c:noMultiLvlLbl val="0"/>
      </c:catAx>
      <c:valAx>
        <c:axId val="223152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23149056"/>
        <c:crosses val="autoZero"/>
        <c:crossBetween val="between"/>
      </c:valAx>
      <c:serAx>
        <c:axId val="214162944"/>
        <c:scaling>
          <c:orientation val="minMax"/>
        </c:scaling>
        <c:delete val="1"/>
        <c:axPos val="b"/>
        <c:majorTickMark val="out"/>
        <c:minorTickMark val="none"/>
        <c:tickLblPos val="none"/>
        <c:crossAx val="223152000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Доля многоквартирных домов, расположенных на земельных участках, в отношении которых осуществлен государственный кадастровый учет,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50.2</c:v>
                </c:pt>
                <c:pt idx="1">
                  <c:v>60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5074688"/>
        <c:axId val="218493696"/>
      </c:barChart>
      <c:catAx>
        <c:axId val="2150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18493696"/>
        <c:crosses val="autoZero"/>
        <c:auto val="1"/>
        <c:lblAlgn val="ctr"/>
        <c:lblOffset val="100"/>
        <c:noMultiLvlLbl val="0"/>
      </c:catAx>
      <c:valAx>
        <c:axId val="218493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074688"/>
        <c:crosses val="autoZero"/>
        <c:crossBetween val="between"/>
      </c:valAx>
    </c:plotArea>
    <c:plotVisOnly val="1"/>
    <c:dispBlanksAs val="gap"/>
    <c:showDLblsOverMax val="0"/>
  </c:chart>
  <c:spPr>
    <a:noFill/>
    <a:ln w="0" cmpd="sng">
      <a:noFill/>
    </a:ln>
    <a:effectLst>
      <a:innerShdw blurRad="114300">
        <a:prstClr val="black">
          <a:alpha val="4000"/>
        </a:prstClr>
      </a:innerShdw>
    </a:effectLst>
    <a:scene3d>
      <a:camera prst="orthographicFront"/>
      <a:lightRig rig="threePt" dir="t"/>
    </a:scene3d>
    <a:sp3d prstMaterial="matte"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налоговых и неналоговых доходов местного бюджета,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8715032415795"/>
          <c:y val="0.28594789464546538"/>
          <c:w val="0.82984580052494572"/>
          <c:h val="0.50912961411739088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8064A2">
                    <a:lumMod val="40000"/>
                    <a:lumOff val="60000"/>
                  </a:srgbClr>
                </a:gs>
                <a:gs pos="50000">
                  <a:schemeClr val="bg1"/>
                </a:gs>
                <a:gs pos="100000">
                  <a:srgbClr val="8064A2">
                    <a:lumMod val="75000"/>
                  </a:srgbClr>
                </a:gs>
              </a:gsLst>
              <a:lin ang="5400000" scaled="0"/>
            </a:gradFill>
          </c:spPr>
          <c:invertIfNegative val="1"/>
          <c:dLbls>
            <c:dLbl>
              <c:idx val="0"/>
              <c:layout>
                <c:manualLayout>
                  <c:x val="2.08333333333334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412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6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50.2</c:v>
                </c:pt>
                <c:pt idx="1">
                  <c:v>64.5</c:v>
                </c:pt>
                <c:pt idx="2">
                  <c:v>48.4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1"/>
        <c:gapDepth val="94"/>
        <c:shape val="cylinder"/>
        <c:axId val="223256576"/>
        <c:axId val="223259264"/>
        <c:axId val="215109632"/>
      </c:bar3DChart>
      <c:catAx>
        <c:axId val="22325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23259264"/>
        <c:crosses val="autoZero"/>
        <c:auto val="1"/>
        <c:lblAlgn val="ctr"/>
        <c:lblOffset val="100"/>
        <c:noMultiLvlLbl val="0"/>
      </c:catAx>
      <c:valAx>
        <c:axId val="223259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3256576"/>
        <c:crosses val="autoZero"/>
        <c:crossBetween val="between"/>
      </c:valAx>
      <c:serAx>
        <c:axId val="215109632"/>
        <c:scaling>
          <c:orientation val="minMax"/>
        </c:scaling>
        <c:delete val="1"/>
        <c:axPos val="b"/>
        <c:majorTickMark val="out"/>
        <c:minorTickMark val="none"/>
        <c:tickLblPos val="none"/>
        <c:crossAx val="223259264"/>
        <c:crosses val="autoZero"/>
      </c:serAx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бюджета муниципального образования на содержание работников органов местного самоуправления в расчете на 1 жителя,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968.17</c:v>
                </c:pt>
                <c:pt idx="1">
                  <c:v>1123.17</c:v>
                </c:pt>
                <c:pt idx="2">
                  <c:v>1205.25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283840"/>
        <c:axId val="223303936"/>
      </c:barChart>
      <c:catAx>
        <c:axId val="22328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23303936"/>
        <c:crosses val="autoZero"/>
        <c:auto val="1"/>
        <c:lblAlgn val="ctr"/>
        <c:lblOffset val="100"/>
        <c:noMultiLvlLbl val="0"/>
      </c:catAx>
      <c:valAx>
        <c:axId val="223303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32838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Среднегодовая численность постоянного населения, тыс. чел.</a:t>
            </a:r>
          </a:p>
        </c:rich>
      </c:tx>
      <c:layout>
        <c:manualLayout>
          <c:xMode val="edge"/>
          <c:yMode val="edge"/>
          <c:x val="0.13530675853018373"/>
          <c:y val="2.3809523809523812E-2"/>
        </c:manualLayout>
      </c:layout>
      <c:overlay val="0"/>
    </c:title>
    <c:autoTitleDeleted val="0"/>
    <c:view3D>
      <c:rotX val="0"/>
      <c:rotY val="4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2.0833333333333412E-2"/>
                  <c:y val="-0.238095238095241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88888888889107E-2"/>
                  <c:y val="-0.16269841269841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62962962962982E-2"/>
                  <c:y val="-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38.049999999999997</c:v>
                </c:pt>
                <c:pt idx="1">
                  <c:v>37.58</c:v>
                </c:pt>
                <c:pt idx="2">
                  <c:v>37.17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24052736"/>
        <c:axId val="224056448"/>
        <c:axId val="0"/>
      </c:bar3DChart>
      <c:catAx>
        <c:axId val="2240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24056448"/>
        <c:crosses val="autoZero"/>
        <c:auto val="1"/>
        <c:lblAlgn val="ctr"/>
        <c:lblOffset val="100"/>
        <c:noMultiLvlLbl val="0"/>
      </c:catAx>
      <c:valAx>
        <c:axId val="224056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4052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200">
                <a:latin typeface="PT Astra Serif" panose="020A0603040505020204" pitchFamily="18" charset="-52"/>
                <a:ea typeface="PT Astra Serif" panose="020A0603040505020204" pitchFamily="18" charset="-52"/>
              </a:rPr>
              <a:t>Удельная величина потребленния энергетических ресурсов в многоквартирных домах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63888888889831E-2"/>
          <c:y val="0.18293650793650792"/>
          <c:w val="0.85431138815981333"/>
          <c:h val="0.56726877890263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7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745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2592592592593906E-3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371.5</c:v>
                </c:pt>
                <c:pt idx="1">
                  <c:v>0.19</c:v>
                </c:pt>
                <c:pt idx="2">
                  <c:v>37.5</c:v>
                </c:pt>
                <c:pt idx="3">
                  <c:v>89.5</c:v>
                </c:pt>
                <c:pt idx="4">
                  <c:v>299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1.9841269841269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9034E-2"/>
                  <c:y val="7.27504823315458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9034E-2"/>
                  <c:y val="-7.27504823315458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372.5</c:v>
                </c:pt>
                <c:pt idx="1">
                  <c:v>0.19</c:v>
                </c:pt>
                <c:pt idx="2">
                  <c:v>37.4</c:v>
                </c:pt>
                <c:pt idx="3">
                  <c:v>88.5</c:v>
                </c:pt>
                <c:pt idx="4">
                  <c:v>299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5011968"/>
        <c:axId val="225026048"/>
        <c:axId val="0"/>
      </c:bar3DChart>
      <c:catAx>
        <c:axId val="225011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25026048"/>
        <c:crosses val="autoZero"/>
        <c:auto val="1"/>
        <c:lblAlgn val="ctr"/>
        <c:lblOffset val="100"/>
        <c:noMultiLvlLbl val="0"/>
      </c:catAx>
      <c:valAx>
        <c:axId val="225026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5011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Объём инвестиций в основной капитал (за исключением бюджетных средств) в расчете на 1 жителя,руб.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73E-2"/>
                  <c:y val="-1.984126984127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3707.1</c:v>
                </c:pt>
                <c:pt idx="1">
                  <c:v>4364.8999999999996</c:v>
                </c:pt>
                <c:pt idx="2">
                  <c:v>54662.8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85078912"/>
        <c:axId val="200912896"/>
        <c:axId val="0"/>
      </c:bar3DChart>
      <c:catAx>
        <c:axId val="18507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0912896"/>
        <c:crosses val="autoZero"/>
        <c:auto val="1"/>
        <c:lblAlgn val="ctr"/>
        <c:lblOffset val="100"/>
        <c:noMultiLvlLbl val="0"/>
      </c:catAx>
      <c:valAx>
        <c:axId val="20091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507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Доля площади земельных участков, являющихся объектами налогообложения, % </a:t>
            </a:r>
            <a:endParaRPr lang="en-US" sz="110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92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534784"/>
        <c:axId val="214586880"/>
      </c:barChart>
      <c:catAx>
        <c:axId val="214534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4586880"/>
        <c:crosses val="autoZero"/>
        <c:auto val="1"/>
        <c:lblAlgn val="ctr"/>
        <c:lblOffset val="100"/>
        <c:noMultiLvlLbl val="0"/>
      </c:catAx>
      <c:valAx>
        <c:axId val="21458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534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прибыльных сельскохозяйственных организаций,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412E-2"/>
                  <c:y val="-7.14285714285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412E-2"/>
                  <c:y val="-7.142857142857142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90</a:t>
                    </a:r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7.14285714285714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100</a:t>
                    </a:r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88.9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4594304"/>
        <c:axId val="214596992"/>
        <c:axId val="225490240"/>
      </c:bar3DChart>
      <c:catAx>
        <c:axId val="21459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14596992"/>
        <c:crosses val="autoZero"/>
        <c:auto val="1"/>
        <c:lblAlgn val="ctr"/>
        <c:lblOffset val="100"/>
        <c:noMultiLvlLbl val="0"/>
      </c:catAx>
      <c:valAx>
        <c:axId val="214596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594304"/>
        <c:crosses val="autoZero"/>
        <c:crossBetween val="between"/>
      </c:valAx>
      <c:serAx>
        <c:axId val="225490240"/>
        <c:scaling>
          <c:orientation val="minMax"/>
        </c:scaling>
        <c:delete val="1"/>
        <c:axPos val="b"/>
        <c:majorTickMark val="out"/>
        <c:minorTickMark val="none"/>
        <c:tickLblPos val="none"/>
        <c:crossAx val="214596992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автомобильных дорог, не отвечающих нормативным требованиям, %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89.19</c:v>
                </c:pt>
                <c:pt idx="1">
                  <c:v>84.4</c:v>
                </c:pt>
                <c:pt idx="2">
                  <c:v>81.8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4613376"/>
        <c:axId val="214677760"/>
      </c:lineChart>
      <c:catAx>
        <c:axId val="2146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14677760"/>
        <c:crosses val="autoZero"/>
        <c:auto val="1"/>
        <c:lblAlgn val="ctr"/>
        <c:lblOffset val="100"/>
        <c:noMultiLvlLbl val="0"/>
      </c:catAx>
      <c:valAx>
        <c:axId val="214677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61337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Размер среднемесячной номинальной начисленной заработной платы работников крупных и средних предприятий и некоммерческих организаций,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5462962962962982E-2"/>
                  <c:y val="-0.331588132635259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4721E-3"/>
                  <c:y val="-0.3560209424083770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29561</a:t>
                    </a:r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595508895189E-2"/>
                  <c:y val="-0.37347294938918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27072.7</c:v>
                </c:pt>
                <c:pt idx="1">
                  <c:v>29561</c:v>
                </c:pt>
                <c:pt idx="2">
                  <c:v>30610.5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4619648"/>
        <c:axId val="214782336"/>
        <c:axId val="0"/>
      </c:bar3DChart>
      <c:catAx>
        <c:axId val="21461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214782336"/>
        <c:crosses val="autoZero"/>
        <c:auto val="1"/>
        <c:lblAlgn val="ctr"/>
        <c:lblOffset val="100"/>
        <c:noMultiLvlLbl val="0"/>
      </c:catAx>
      <c:valAx>
        <c:axId val="214782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619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Среднемесячная номинальная начисленная заработная плата работников муниципальных дошкольных образовательных учреждений,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-0.345549738219895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4721E-3"/>
                  <c:y val="-0.331588132635259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5253054101221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17914.8</c:v>
                </c:pt>
                <c:pt idx="1">
                  <c:v>19298.2</c:v>
                </c:pt>
                <c:pt idx="2">
                  <c:v>21030.400000000001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4156416"/>
        <c:axId val="214157952"/>
        <c:axId val="0"/>
      </c:bar3DChart>
      <c:catAx>
        <c:axId val="21415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157952"/>
        <c:crosses val="autoZero"/>
        <c:auto val="1"/>
        <c:lblAlgn val="ctr"/>
        <c:lblOffset val="100"/>
        <c:noMultiLvlLbl val="0"/>
      </c:catAx>
      <c:valAx>
        <c:axId val="214157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156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Среднемесячная номинальная начисленная заработная плата работников муниципальных общеобразовательных учреждений,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-0.19895315441590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037037037037056E-2"/>
                  <c:y val="-0.35253081584697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7005E-3"/>
                  <c:y val="-0.3699825479930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22959.599999999999</c:v>
                </c:pt>
                <c:pt idx="1">
                  <c:v>25257.8</c:v>
                </c:pt>
                <c:pt idx="2">
                  <c:v>26442.7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4648320"/>
        <c:axId val="215032192"/>
        <c:axId val="0"/>
      </c:bar3DChart>
      <c:catAx>
        <c:axId val="21464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032192"/>
        <c:crosses val="autoZero"/>
        <c:auto val="1"/>
        <c:lblAlgn val="ctr"/>
        <c:lblOffset val="100"/>
        <c:noMultiLvlLbl val="0"/>
      </c:catAx>
      <c:valAx>
        <c:axId val="21503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648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100">
                <a:latin typeface="PT Astra Serif" panose="020A0603040505020204" pitchFamily="18" charset="-52"/>
                <a:ea typeface="PT Astra Serif" panose="020A0603040505020204" pitchFamily="18" charset="-52"/>
              </a:rPr>
              <a:t>Доля детей в возрасте 1-6 лет, получающих дошкольную образовательную услугу,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2.0833333333333412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412E-2"/>
                  <c:y val="-5.555555555555561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60</a:t>
                    </a:r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32E-2"/>
                  <c:y val="-4.365079365079364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58,4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59.7</c:v>
                </c:pt>
                <c:pt idx="1">
                  <c:v>60</c:v>
                </c:pt>
                <c:pt idx="2">
                  <c:v>58.4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14804352"/>
        <c:axId val="214805504"/>
        <c:axId val="214686784"/>
      </c:bar3DChart>
      <c:catAx>
        <c:axId val="21480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805504"/>
        <c:crosses val="autoZero"/>
        <c:auto val="1"/>
        <c:lblAlgn val="ctr"/>
        <c:lblOffset val="100"/>
        <c:noMultiLvlLbl val="0"/>
      </c:catAx>
      <c:valAx>
        <c:axId val="214805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4804352"/>
        <c:crosses val="autoZero"/>
        <c:crossBetween val="between"/>
      </c:valAx>
      <c:serAx>
        <c:axId val="214686784"/>
        <c:scaling>
          <c:orientation val="minMax"/>
        </c:scaling>
        <c:delete val="1"/>
        <c:axPos val="b"/>
        <c:majorTickMark val="out"/>
        <c:minorTickMark val="none"/>
        <c:tickLblPos val="none"/>
        <c:crossAx val="214805504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B8B8-F712-44E9-9A82-60D67329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23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Назарова Елена Геннадьевна</cp:lastModifiedBy>
  <cp:revision>70</cp:revision>
  <cp:lastPrinted>2020-04-24T08:21:00Z</cp:lastPrinted>
  <dcterms:created xsi:type="dcterms:W3CDTF">2019-04-29T09:47:00Z</dcterms:created>
  <dcterms:modified xsi:type="dcterms:W3CDTF">2020-04-27T12:32:00Z</dcterms:modified>
</cp:coreProperties>
</file>