
<file path=[Content_Types].xml><?xml version="1.0" encoding="utf-8"?>
<Types xmlns="http://schemas.openxmlformats.org/package/2006/content-types">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AFF" w:rsidRDefault="00900AFF" w:rsidP="00911873">
      <w:pPr>
        <w:spacing w:after="0" w:line="240" w:lineRule="auto"/>
        <w:ind w:firstLine="720"/>
        <w:jc w:val="center"/>
        <w:rPr>
          <w:rFonts w:ascii="Times New Roman" w:hAnsi="Times New Roman"/>
          <w:b/>
          <w:sz w:val="28"/>
          <w:szCs w:val="28"/>
          <w:lang w:eastAsia="ru-RU"/>
        </w:rPr>
      </w:pPr>
      <w:r>
        <w:rPr>
          <w:rFonts w:ascii="Times New Roman" w:hAnsi="Times New Roman"/>
          <w:b/>
          <w:sz w:val="28"/>
          <w:szCs w:val="28"/>
          <w:lang w:eastAsia="ru-RU"/>
        </w:rPr>
        <w:t xml:space="preserve">Текстовая часть доклада главы администрации муниципального образования Кимовский район о достигнутых значениях показателей для оценки </w:t>
      </w:r>
      <w:proofErr w:type="gramStart"/>
      <w:r>
        <w:rPr>
          <w:rFonts w:ascii="Times New Roman" w:hAnsi="Times New Roman"/>
          <w:b/>
          <w:sz w:val="28"/>
          <w:szCs w:val="28"/>
          <w:lang w:eastAsia="ru-RU"/>
        </w:rPr>
        <w:t>эффективности деятельности органов местного самоуправления городских округов</w:t>
      </w:r>
      <w:proofErr w:type="gramEnd"/>
      <w:r>
        <w:rPr>
          <w:rFonts w:ascii="Times New Roman" w:hAnsi="Times New Roman"/>
          <w:b/>
          <w:sz w:val="28"/>
          <w:szCs w:val="28"/>
          <w:lang w:eastAsia="ru-RU"/>
        </w:rPr>
        <w:t xml:space="preserve"> и муниципальных районов</w:t>
      </w:r>
    </w:p>
    <w:p w:rsidR="00900AFF" w:rsidRDefault="00900AFF" w:rsidP="00911873">
      <w:pPr>
        <w:spacing w:after="0" w:line="240" w:lineRule="auto"/>
        <w:ind w:firstLine="720"/>
        <w:rPr>
          <w:rFonts w:ascii="Times New Roman" w:hAnsi="Times New Roman"/>
          <w:b/>
          <w:sz w:val="28"/>
          <w:szCs w:val="28"/>
          <w:lang w:eastAsia="ru-RU"/>
        </w:rPr>
      </w:pPr>
      <w:r>
        <w:rPr>
          <w:rFonts w:ascii="Times New Roman" w:hAnsi="Times New Roman"/>
          <w:b/>
          <w:sz w:val="28"/>
          <w:szCs w:val="28"/>
          <w:lang w:eastAsia="ru-RU"/>
        </w:rPr>
        <w:t>за 201</w:t>
      </w:r>
      <w:r w:rsidR="00B314AD">
        <w:rPr>
          <w:rFonts w:ascii="Times New Roman" w:hAnsi="Times New Roman"/>
          <w:b/>
          <w:sz w:val="28"/>
          <w:szCs w:val="28"/>
          <w:lang w:eastAsia="ru-RU"/>
        </w:rPr>
        <w:t>7</w:t>
      </w:r>
      <w:r>
        <w:rPr>
          <w:rFonts w:ascii="Times New Roman" w:hAnsi="Times New Roman"/>
          <w:b/>
          <w:sz w:val="28"/>
          <w:szCs w:val="28"/>
          <w:lang w:eastAsia="ru-RU"/>
        </w:rPr>
        <w:t xml:space="preserve"> год и их планируемых </w:t>
      </w:r>
      <w:proofErr w:type="gramStart"/>
      <w:r>
        <w:rPr>
          <w:rFonts w:ascii="Times New Roman" w:hAnsi="Times New Roman"/>
          <w:b/>
          <w:sz w:val="28"/>
          <w:szCs w:val="28"/>
          <w:lang w:eastAsia="ru-RU"/>
        </w:rPr>
        <w:t>значениях</w:t>
      </w:r>
      <w:proofErr w:type="gramEnd"/>
      <w:r>
        <w:rPr>
          <w:rFonts w:ascii="Times New Roman" w:hAnsi="Times New Roman"/>
          <w:b/>
          <w:sz w:val="28"/>
          <w:szCs w:val="28"/>
          <w:lang w:eastAsia="ru-RU"/>
        </w:rPr>
        <w:t xml:space="preserve"> на 3-летний период.</w:t>
      </w:r>
    </w:p>
    <w:p w:rsidR="007B512E" w:rsidRDefault="007B512E" w:rsidP="00911873">
      <w:pPr>
        <w:spacing w:after="0" w:line="240" w:lineRule="auto"/>
        <w:ind w:firstLine="720"/>
        <w:rPr>
          <w:rFonts w:ascii="Times New Roman" w:hAnsi="Times New Roman"/>
          <w:b/>
          <w:sz w:val="28"/>
          <w:szCs w:val="28"/>
          <w:lang w:eastAsia="ru-RU"/>
        </w:rPr>
      </w:pPr>
    </w:p>
    <w:p w:rsidR="007B512E" w:rsidRPr="00B314AD" w:rsidRDefault="007B512E" w:rsidP="00911873">
      <w:pPr>
        <w:spacing w:after="0" w:line="240" w:lineRule="auto"/>
        <w:ind w:firstLine="720"/>
        <w:jc w:val="both"/>
        <w:rPr>
          <w:rFonts w:ascii="Times New Roman" w:hAnsi="Times New Roman"/>
          <w:b/>
          <w:sz w:val="28"/>
          <w:szCs w:val="28"/>
          <w:lang w:eastAsia="ru-RU"/>
        </w:rPr>
      </w:pPr>
      <w:proofErr w:type="gramStart"/>
      <w:r w:rsidRPr="00B314AD">
        <w:rPr>
          <w:rFonts w:ascii="Times New Roman" w:hAnsi="Times New Roman"/>
          <w:color w:val="000000"/>
          <w:sz w:val="28"/>
          <w:szCs w:val="28"/>
          <w:lang w:eastAsia="ru-RU"/>
        </w:rPr>
        <w:t>Сводный доклад о результатах мониторинга эффективности деятельности органов местного самоуправления городских округов и муниципальных районов за 201</w:t>
      </w:r>
      <w:r w:rsidR="00B314AD" w:rsidRPr="00B314AD">
        <w:rPr>
          <w:rFonts w:ascii="Times New Roman" w:hAnsi="Times New Roman"/>
          <w:color w:val="000000"/>
          <w:sz w:val="28"/>
          <w:szCs w:val="28"/>
          <w:lang w:eastAsia="ru-RU"/>
        </w:rPr>
        <w:t>7</w:t>
      </w:r>
      <w:r w:rsidRPr="00B314AD">
        <w:rPr>
          <w:rFonts w:ascii="Times New Roman" w:hAnsi="Times New Roman"/>
          <w:color w:val="000000"/>
          <w:sz w:val="28"/>
          <w:szCs w:val="28"/>
          <w:lang w:eastAsia="ru-RU"/>
        </w:rPr>
        <w:t xml:space="preserve"> год подготовлен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и постановлением Правительства Российской Федерации от 17.12.2012 № 1317 «О</w:t>
      </w:r>
      <w:r w:rsidRPr="00B314AD">
        <w:rPr>
          <w:rFonts w:ascii="Times New Roman" w:hAnsi="Times New Roman"/>
          <w:sz w:val="28"/>
          <w:szCs w:val="28"/>
        </w:rPr>
        <w:t xml:space="preserve"> мерах по реализации указа Президента Российской Федерации от 28 апреля</w:t>
      </w:r>
      <w:proofErr w:type="gramEnd"/>
      <w:r w:rsidRPr="00B314AD">
        <w:rPr>
          <w:rFonts w:ascii="Times New Roman" w:hAnsi="Times New Roman"/>
          <w:sz w:val="28"/>
          <w:szCs w:val="28"/>
        </w:rPr>
        <w:t xml:space="preserve"> 2008 года № 607 «Об оценке </w:t>
      </w:r>
      <w:proofErr w:type="gramStart"/>
      <w:r w:rsidRPr="00B314AD">
        <w:rPr>
          <w:rFonts w:ascii="Times New Roman" w:hAnsi="Times New Roman"/>
          <w:sz w:val="28"/>
          <w:szCs w:val="28"/>
        </w:rPr>
        <w:t>эффективности деятельности органов местного самоуправления городских округов</w:t>
      </w:r>
      <w:proofErr w:type="gramEnd"/>
      <w:r w:rsidRPr="00B314AD">
        <w:rPr>
          <w:rFonts w:ascii="Times New Roman" w:hAnsi="Times New Roman"/>
          <w:sz w:val="28"/>
          <w:szCs w:val="28"/>
        </w:rPr>
        <w:t xml:space="preserve"> и муниципальных районов»</w:t>
      </w:r>
      <w:r w:rsidR="008A5F7F" w:rsidRPr="00B314AD">
        <w:rPr>
          <w:rFonts w:ascii="Times New Roman" w:hAnsi="Times New Roman"/>
          <w:sz w:val="28"/>
          <w:szCs w:val="28"/>
        </w:rPr>
        <w:t xml:space="preserve"> и</w:t>
      </w:r>
      <w:r w:rsidR="008A5F7F" w:rsidRPr="00B314AD">
        <w:rPr>
          <w:rFonts w:ascii="Times New Roman" w:hAnsi="Times New Roman"/>
          <w:color w:val="000000"/>
          <w:sz w:val="28"/>
          <w:szCs w:val="28"/>
          <w:lang w:eastAsia="ru-RU"/>
        </w:rPr>
        <w:t xml:space="preserve"> представляет собой аналитическую информацию о деятельности  администрации муниципального образования по достигнутым значениям показателей для оценки эффективности деятельности органов местного самоуправления за год и их планируемых значениях на 3-летний период.</w:t>
      </w:r>
    </w:p>
    <w:p w:rsidR="007F4548" w:rsidRDefault="007F4548" w:rsidP="007F4548">
      <w:pPr>
        <w:pStyle w:val="a3"/>
        <w:spacing w:after="0" w:line="240" w:lineRule="auto"/>
        <w:ind w:left="0"/>
        <w:jc w:val="both"/>
        <w:rPr>
          <w:rFonts w:ascii="Times New Roman" w:hAnsi="Times New Roman"/>
          <w:b/>
          <w:sz w:val="28"/>
          <w:szCs w:val="28"/>
          <w:highlight w:val="yellow"/>
          <w:lang w:eastAsia="ru-RU"/>
        </w:rPr>
      </w:pPr>
    </w:p>
    <w:p w:rsidR="00C67CA0" w:rsidRPr="007F4548" w:rsidRDefault="007F4548" w:rsidP="007F4548">
      <w:pPr>
        <w:pStyle w:val="a3"/>
        <w:spacing w:after="0" w:line="240" w:lineRule="auto"/>
        <w:ind w:left="0"/>
        <w:jc w:val="center"/>
        <w:rPr>
          <w:rFonts w:ascii="Times New Roman" w:hAnsi="Times New Roman"/>
          <w:b/>
          <w:i/>
          <w:sz w:val="28"/>
          <w:szCs w:val="28"/>
        </w:rPr>
      </w:pPr>
      <w:r w:rsidRPr="007F4548">
        <w:rPr>
          <w:rFonts w:ascii="Times New Roman" w:hAnsi="Times New Roman"/>
          <w:b/>
          <w:i/>
          <w:sz w:val="28"/>
          <w:szCs w:val="28"/>
          <w:lang w:eastAsia="ru-RU"/>
        </w:rPr>
        <w:t xml:space="preserve">1. </w:t>
      </w:r>
      <w:r w:rsidR="00C67CA0" w:rsidRPr="007F4548">
        <w:rPr>
          <w:rFonts w:ascii="Times New Roman" w:hAnsi="Times New Roman"/>
          <w:b/>
          <w:i/>
          <w:sz w:val="28"/>
          <w:szCs w:val="28"/>
        </w:rPr>
        <w:t>Сведения о муниципальном районе и органах местного самоуправления муниципального района:</w:t>
      </w:r>
    </w:p>
    <w:p w:rsidR="006B30A4" w:rsidRPr="007F4548" w:rsidRDefault="006B30A4" w:rsidP="009B1302">
      <w:pPr>
        <w:pStyle w:val="a3"/>
        <w:spacing w:after="0" w:line="240" w:lineRule="auto"/>
        <w:ind w:left="0"/>
        <w:jc w:val="both"/>
        <w:rPr>
          <w:rFonts w:ascii="Times New Roman" w:hAnsi="Times New Roman"/>
          <w:b/>
          <w:i/>
          <w:sz w:val="28"/>
          <w:szCs w:val="28"/>
        </w:rPr>
      </w:pPr>
    </w:p>
    <w:p w:rsidR="00CB4378" w:rsidRPr="007F4548" w:rsidRDefault="00CB4378" w:rsidP="00911873">
      <w:pPr>
        <w:pStyle w:val="a3"/>
        <w:spacing w:after="0" w:line="240" w:lineRule="auto"/>
        <w:ind w:left="1894"/>
        <w:rPr>
          <w:rFonts w:ascii="Times New Roman" w:hAnsi="Times New Roman"/>
          <w:b/>
          <w:sz w:val="28"/>
          <w:szCs w:val="28"/>
          <w:lang w:eastAsia="ru-RU"/>
        </w:rPr>
      </w:pPr>
      <w:r w:rsidRPr="007F4548">
        <w:rPr>
          <w:rFonts w:ascii="Times New Roman" w:hAnsi="Times New Roman"/>
          <w:b/>
          <w:sz w:val="28"/>
          <w:szCs w:val="28"/>
          <w:lang w:eastAsia="ru-RU"/>
        </w:rPr>
        <w:t>Общая информация о муниципальном районе</w:t>
      </w:r>
    </w:p>
    <w:p w:rsidR="006B30A4" w:rsidRPr="007F4548" w:rsidRDefault="006B30A4" w:rsidP="00911873">
      <w:pPr>
        <w:pStyle w:val="a3"/>
        <w:spacing w:after="0" w:line="240" w:lineRule="auto"/>
        <w:ind w:left="1894"/>
        <w:rPr>
          <w:rFonts w:ascii="Times New Roman" w:hAnsi="Times New Roman"/>
          <w:b/>
          <w:sz w:val="28"/>
          <w:szCs w:val="28"/>
          <w:lang w:eastAsia="ru-RU"/>
        </w:rPr>
      </w:pPr>
    </w:p>
    <w:tbl>
      <w:tblPr>
        <w:tblW w:w="9737" w:type="dxa"/>
        <w:jc w:val="center"/>
        <w:tblInd w:w="3824" w:type="dxa"/>
        <w:tblBorders>
          <w:top w:val="single" w:sz="2" w:space="0" w:color="auto"/>
          <w:left w:val="single" w:sz="2" w:space="0" w:color="auto"/>
          <w:bottom w:val="single" w:sz="2" w:space="0" w:color="auto"/>
          <w:right w:val="single" w:sz="2" w:space="0" w:color="auto"/>
          <w:insideH w:val="single" w:sz="2" w:space="0" w:color="C0C0C0"/>
          <w:insideV w:val="single" w:sz="2" w:space="0" w:color="C0C0C0"/>
        </w:tblBorders>
        <w:tblLayout w:type="fixed"/>
        <w:tblLook w:val="01E0"/>
      </w:tblPr>
      <w:tblGrid>
        <w:gridCol w:w="1620"/>
        <w:gridCol w:w="1985"/>
        <w:gridCol w:w="1843"/>
        <w:gridCol w:w="1701"/>
        <w:gridCol w:w="2588"/>
      </w:tblGrid>
      <w:tr w:rsidR="00CB4378" w:rsidRPr="007F4548" w:rsidTr="006B30A4">
        <w:trPr>
          <w:tblHeader/>
          <w:jc w:val="center"/>
        </w:trPr>
        <w:tc>
          <w:tcPr>
            <w:tcW w:w="1620" w:type="dxa"/>
            <w:tcBorders>
              <w:top w:val="single" w:sz="6" w:space="0" w:color="000000"/>
              <w:left w:val="single" w:sz="6" w:space="0" w:color="000000"/>
              <w:bottom w:val="single" w:sz="6" w:space="0" w:color="000000"/>
              <w:right w:val="single" w:sz="2" w:space="0" w:color="808080"/>
            </w:tcBorders>
            <w:shd w:val="clear" w:color="auto" w:fill="auto"/>
          </w:tcPr>
          <w:p w:rsidR="00CB4378" w:rsidRPr="007F4548" w:rsidRDefault="00CB4378" w:rsidP="00911873">
            <w:pPr>
              <w:spacing w:after="0" w:line="240" w:lineRule="auto"/>
              <w:jc w:val="center"/>
              <w:rPr>
                <w:rFonts w:ascii="Times New Roman" w:hAnsi="Times New Roman"/>
                <w:b/>
                <w:lang w:eastAsia="ru-RU"/>
              </w:rPr>
            </w:pPr>
            <w:proofErr w:type="spellStart"/>
            <w:proofErr w:type="gramStart"/>
            <w:r w:rsidRPr="007F4548">
              <w:rPr>
                <w:rFonts w:ascii="Times New Roman" w:hAnsi="Times New Roman"/>
                <w:b/>
                <w:lang w:eastAsia="ru-RU"/>
              </w:rPr>
              <w:t>Официаль</w:t>
            </w:r>
            <w:r w:rsidR="00E76B11" w:rsidRPr="007F4548">
              <w:rPr>
                <w:rFonts w:ascii="Times New Roman" w:hAnsi="Times New Roman"/>
                <w:b/>
                <w:lang w:eastAsia="ru-RU"/>
              </w:rPr>
              <w:t>-</w:t>
            </w:r>
            <w:r w:rsidRPr="007F4548">
              <w:rPr>
                <w:rFonts w:ascii="Times New Roman" w:hAnsi="Times New Roman"/>
                <w:b/>
                <w:lang w:eastAsia="ru-RU"/>
              </w:rPr>
              <w:t>ный</w:t>
            </w:r>
            <w:proofErr w:type="spellEnd"/>
            <w:proofErr w:type="gramEnd"/>
            <w:r w:rsidRPr="007F4548">
              <w:rPr>
                <w:rFonts w:ascii="Times New Roman" w:hAnsi="Times New Roman"/>
                <w:b/>
                <w:lang w:eastAsia="ru-RU"/>
              </w:rPr>
              <w:t xml:space="preserve"> герб</w:t>
            </w:r>
          </w:p>
        </w:tc>
        <w:tc>
          <w:tcPr>
            <w:tcW w:w="1985" w:type="dxa"/>
            <w:tcBorders>
              <w:top w:val="single" w:sz="6" w:space="0" w:color="000000"/>
              <w:left w:val="single" w:sz="6" w:space="0" w:color="000000"/>
              <w:bottom w:val="single" w:sz="6" w:space="0" w:color="000000"/>
              <w:right w:val="single" w:sz="2" w:space="0" w:color="808080"/>
            </w:tcBorders>
            <w:shd w:val="clear" w:color="auto" w:fill="auto"/>
          </w:tcPr>
          <w:p w:rsidR="00CB4378" w:rsidRPr="007F4548" w:rsidRDefault="00CB4378" w:rsidP="00911873">
            <w:pPr>
              <w:spacing w:after="0" w:line="240" w:lineRule="auto"/>
              <w:jc w:val="center"/>
              <w:rPr>
                <w:rFonts w:ascii="Times New Roman" w:hAnsi="Times New Roman"/>
                <w:b/>
                <w:lang w:eastAsia="ru-RU"/>
              </w:rPr>
            </w:pPr>
            <w:r w:rsidRPr="007F4548">
              <w:rPr>
                <w:rFonts w:ascii="Times New Roman" w:hAnsi="Times New Roman"/>
                <w:b/>
                <w:lang w:eastAsia="ru-RU"/>
              </w:rPr>
              <w:t xml:space="preserve">Наименование </w:t>
            </w:r>
            <w:proofErr w:type="spellStart"/>
            <w:proofErr w:type="gramStart"/>
            <w:r w:rsidRPr="007F4548">
              <w:rPr>
                <w:rFonts w:ascii="Times New Roman" w:hAnsi="Times New Roman"/>
                <w:b/>
                <w:lang w:eastAsia="ru-RU"/>
              </w:rPr>
              <w:t>муниципаль</w:t>
            </w:r>
            <w:r w:rsidR="00E76B11" w:rsidRPr="007F4548">
              <w:rPr>
                <w:rFonts w:ascii="Times New Roman" w:hAnsi="Times New Roman"/>
                <w:b/>
                <w:lang w:eastAsia="ru-RU"/>
              </w:rPr>
              <w:t>-</w:t>
            </w:r>
            <w:r w:rsidRPr="007F4548">
              <w:rPr>
                <w:rFonts w:ascii="Times New Roman" w:hAnsi="Times New Roman"/>
                <w:b/>
                <w:lang w:eastAsia="ru-RU"/>
              </w:rPr>
              <w:t>ного</w:t>
            </w:r>
            <w:proofErr w:type="spellEnd"/>
            <w:proofErr w:type="gramEnd"/>
            <w:r w:rsidRPr="007F4548">
              <w:rPr>
                <w:rFonts w:ascii="Times New Roman" w:hAnsi="Times New Roman"/>
                <w:b/>
                <w:lang w:eastAsia="ru-RU"/>
              </w:rPr>
              <w:t xml:space="preserve"> района</w:t>
            </w:r>
          </w:p>
        </w:tc>
        <w:tc>
          <w:tcPr>
            <w:tcW w:w="1843" w:type="dxa"/>
            <w:tcBorders>
              <w:top w:val="single" w:sz="6" w:space="0" w:color="000000"/>
              <w:left w:val="single" w:sz="2" w:space="0" w:color="808080"/>
              <w:bottom w:val="single" w:sz="6" w:space="0" w:color="000000"/>
              <w:right w:val="single" w:sz="2" w:space="0" w:color="808080"/>
            </w:tcBorders>
            <w:shd w:val="clear" w:color="auto" w:fill="auto"/>
          </w:tcPr>
          <w:p w:rsidR="00CB4378" w:rsidRPr="007F4548" w:rsidRDefault="00CB4378" w:rsidP="007F4548">
            <w:pPr>
              <w:spacing w:after="0" w:line="240" w:lineRule="auto"/>
              <w:jc w:val="center"/>
              <w:rPr>
                <w:rFonts w:ascii="Times New Roman" w:hAnsi="Times New Roman"/>
                <w:b/>
                <w:lang w:eastAsia="ru-RU"/>
              </w:rPr>
            </w:pPr>
            <w:r w:rsidRPr="007F4548">
              <w:rPr>
                <w:rFonts w:ascii="Times New Roman" w:hAnsi="Times New Roman"/>
                <w:b/>
                <w:lang w:eastAsia="ru-RU"/>
              </w:rPr>
              <w:t>Среднегодовая численность постоянного населения в 201</w:t>
            </w:r>
            <w:r w:rsidR="007F4548" w:rsidRPr="007F4548">
              <w:rPr>
                <w:rFonts w:ascii="Times New Roman" w:hAnsi="Times New Roman"/>
                <w:b/>
                <w:lang w:eastAsia="ru-RU"/>
              </w:rPr>
              <w:t>7</w:t>
            </w:r>
            <w:r w:rsidRPr="007F4548">
              <w:rPr>
                <w:rFonts w:ascii="Times New Roman" w:hAnsi="Times New Roman"/>
                <w:b/>
                <w:lang w:eastAsia="ru-RU"/>
              </w:rPr>
              <w:t xml:space="preserve"> году, тыс. чел.</w:t>
            </w:r>
          </w:p>
        </w:tc>
        <w:tc>
          <w:tcPr>
            <w:tcW w:w="1701" w:type="dxa"/>
            <w:tcBorders>
              <w:top w:val="single" w:sz="6" w:space="0" w:color="000000"/>
              <w:left w:val="single" w:sz="2" w:space="0" w:color="808080"/>
              <w:bottom w:val="single" w:sz="6" w:space="0" w:color="000000"/>
              <w:right w:val="single" w:sz="2" w:space="0" w:color="808080"/>
            </w:tcBorders>
            <w:shd w:val="clear" w:color="auto" w:fill="auto"/>
          </w:tcPr>
          <w:p w:rsidR="00CB4378" w:rsidRPr="007F4548" w:rsidRDefault="00CB4378" w:rsidP="00911873">
            <w:pPr>
              <w:spacing w:after="0" w:line="240" w:lineRule="auto"/>
              <w:jc w:val="center"/>
              <w:rPr>
                <w:rFonts w:ascii="Times New Roman" w:hAnsi="Times New Roman"/>
                <w:b/>
                <w:lang w:eastAsia="ru-RU"/>
              </w:rPr>
            </w:pPr>
            <w:proofErr w:type="spellStart"/>
            <w:proofErr w:type="gramStart"/>
            <w:r w:rsidRPr="007F4548">
              <w:rPr>
                <w:rFonts w:ascii="Times New Roman" w:hAnsi="Times New Roman"/>
                <w:b/>
                <w:lang w:eastAsia="ru-RU"/>
              </w:rPr>
              <w:t>Админист</w:t>
            </w:r>
            <w:r w:rsidR="00E76B11" w:rsidRPr="007F4548">
              <w:rPr>
                <w:rFonts w:ascii="Times New Roman" w:hAnsi="Times New Roman"/>
                <w:b/>
                <w:lang w:eastAsia="ru-RU"/>
              </w:rPr>
              <w:t>-</w:t>
            </w:r>
            <w:r w:rsidRPr="007F4548">
              <w:rPr>
                <w:rFonts w:ascii="Times New Roman" w:hAnsi="Times New Roman"/>
                <w:b/>
                <w:lang w:eastAsia="ru-RU"/>
              </w:rPr>
              <w:t>ративный</w:t>
            </w:r>
            <w:proofErr w:type="spellEnd"/>
            <w:proofErr w:type="gramEnd"/>
            <w:r w:rsidRPr="007F4548">
              <w:rPr>
                <w:rFonts w:ascii="Times New Roman" w:hAnsi="Times New Roman"/>
                <w:b/>
                <w:lang w:eastAsia="ru-RU"/>
              </w:rPr>
              <w:t xml:space="preserve"> центр </w:t>
            </w:r>
            <w:proofErr w:type="spellStart"/>
            <w:r w:rsidRPr="007F4548">
              <w:rPr>
                <w:rFonts w:ascii="Times New Roman" w:hAnsi="Times New Roman"/>
                <w:b/>
                <w:lang w:eastAsia="ru-RU"/>
              </w:rPr>
              <w:t>муниципаль</w:t>
            </w:r>
            <w:r w:rsidR="00E76B11" w:rsidRPr="007F4548">
              <w:rPr>
                <w:rFonts w:ascii="Times New Roman" w:hAnsi="Times New Roman"/>
                <w:b/>
                <w:lang w:eastAsia="ru-RU"/>
              </w:rPr>
              <w:t>-</w:t>
            </w:r>
            <w:r w:rsidRPr="007F4548">
              <w:rPr>
                <w:rFonts w:ascii="Times New Roman" w:hAnsi="Times New Roman"/>
                <w:b/>
                <w:lang w:eastAsia="ru-RU"/>
              </w:rPr>
              <w:t>ного</w:t>
            </w:r>
            <w:proofErr w:type="spellEnd"/>
            <w:r w:rsidRPr="007F4548">
              <w:rPr>
                <w:rFonts w:ascii="Times New Roman" w:hAnsi="Times New Roman"/>
                <w:b/>
                <w:lang w:eastAsia="ru-RU"/>
              </w:rPr>
              <w:t xml:space="preserve"> района</w:t>
            </w:r>
          </w:p>
        </w:tc>
        <w:tc>
          <w:tcPr>
            <w:tcW w:w="2588" w:type="dxa"/>
            <w:tcBorders>
              <w:top w:val="single" w:sz="6" w:space="0" w:color="000000"/>
              <w:left w:val="single" w:sz="2" w:space="0" w:color="808080"/>
              <w:bottom w:val="single" w:sz="6" w:space="0" w:color="000000"/>
              <w:right w:val="single" w:sz="6" w:space="0" w:color="000000"/>
            </w:tcBorders>
            <w:shd w:val="clear" w:color="auto" w:fill="auto"/>
          </w:tcPr>
          <w:p w:rsidR="00CB4378" w:rsidRPr="007F4548" w:rsidRDefault="00CB4378" w:rsidP="00911873">
            <w:pPr>
              <w:spacing w:after="0" w:line="240" w:lineRule="auto"/>
              <w:jc w:val="center"/>
              <w:rPr>
                <w:rFonts w:ascii="Times New Roman" w:hAnsi="Times New Roman"/>
                <w:lang w:eastAsia="ru-RU"/>
              </w:rPr>
            </w:pPr>
            <w:r w:rsidRPr="007F4548">
              <w:rPr>
                <w:rFonts w:ascii="Times New Roman" w:hAnsi="Times New Roman"/>
                <w:b/>
                <w:bCs/>
                <w:lang w:eastAsia="ru-RU"/>
              </w:rPr>
              <w:t>Информация о размещении доклада главы администрации в сети «Интернет» (адрес официального сайта муниципального образования)</w:t>
            </w:r>
          </w:p>
        </w:tc>
      </w:tr>
      <w:tr w:rsidR="00CB4378" w:rsidRPr="007F4548" w:rsidTr="006B30A4">
        <w:trPr>
          <w:tblHeader/>
          <w:jc w:val="center"/>
        </w:trPr>
        <w:tc>
          <w:tcPr>
            <w:tcW w:w="1620" w:type="dxa"/>
            <w:tcBorders>
              <w:top w:val="single" w:sz="6" w:space="0" w:color="000000"/>
              <w:left w:val="single" w:sz="6" w:space="0" w:color="000000"/>
              <w:bottom w:val="single" w:sz="6" w:space="0" w:color="000000"/>
              <w:right w:val="single" w:sz="2" w:space="0" w:color="808080"/>
            </w:tcBorders>
            <w:shd w:val="clear" w:color="auto" w:fill="auto"/>
          </w:tcPr>
          <w:p w:rsidR="00CB4378" w:rsidRPr="007F4548" w:rsidRDefault="00CB4378" w:rsidP="00911873">
            <w:pPr>
              <w:spacing w:after="0" w:line="240" w:lineRule="auto"/>
              <w:jc w:val="center"/>
              <w:rPr>
                <w:rFonts w:ascii="Times New Roman" w:hAnsi="Times New Roman"/>
                <w:b/>
                <w:sz w:val="26"/>
                <w:szCs w:val="26"/>
                <w:lang w:eastAsia="ru-RU"/>
              </w:rPr>
            </w:pPr>
            <w:r w:rsidRPr="007F4548">
              <w:rPr>
                <w:rFonts w:ascii="Times New Roman" w:hAnsi="Times New Roman"/>
                <w:b/>
                <w:noProof/>
                <w:sz w:val="26"/>
                <w:szCs w:val="26"/>
                <w:lang w:eastAsia="ru-RU"/>
              </w:rPr>
              <w:drawing>
                <wp:inline distT="0" distB="0" distL="0" distR="0">
                  <wp:extent cx="571500" cy="71437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6" cstate="print"/>
                          <a:srcRect/>
                          <a:stretch>
                            <a:fillRect/>
                          </a:stretch>
                        </pic:blipFill>
                        <pic:spPr bwMode="auto">
                          <a:xfrm>
                            <a:off x="0" y="0"/>
                            <a:ext cx="571500" cy="714375"/>
                          </a:xfrm>
                          <a:prstGeom prst="rect">
                            <a:avLst/>
                          </a:prstGeom>
                          <a:noFill/>
                          <a:ln w="9525">
                            <a:noFill/>
                            <a:miter lim="800000"/>
                            <a:headEnd/>
                            <a:tailEnd/>
                          </a:ln>
                        </pic:spPr>
                      </pic:pic>
                    </a:graphicData>
                  </a:graphic>
                </wp:inline>
              </w:drawing>
            </w:r>
          </w:p>
        </w:tc>
        <w:tc>
          <w:tcPr>
            <w:tcW w:w="1985" w:type="dxa"/>
            <w:tcBorders>
              <w:top w:val="single" w:sz="6" w:space="0" w:color="000000"/>
              <w:left w:val="single" w:sz="6" w:space="0" w:color="000000"/>
              <w:bottom w:val="single" w:sz="6" w:space="0" w:color="000000"/>
              <w:right w:val="single" w:sz="2" w:space="0" w:color="808080"/>
            </w:tcBorders>
            <w:shd w:val="clear" w:color="auto" w:fill="auto"/>
          </w:tcPr>
          <w:p w:rsidR="00CB4378" w:rsidRPr="007F4548" w:rsidRDefault="00CB4378" w:rsidP="00911873">
            <w:pPr>
              <w:spacing w:after="0" w:line="240" w:lineRule="auto"/>
              <w:jc w:val="center"/>
              <w:rPr>
                <w:rFonts w:ascii="Times New Roman" w:hAnsi="Times New Roman"/>
                <w:b/>
                <w:sz w:val="24"/>
                <w:szCs w:val="24"/>
                <w:lang w:eastAsia="ru-RU"/>
              </w:rPr>
            </w:pPr>
            <w:r w:rsidRPr="007F4548">
              <w:rPr>
                <w:rFonts w:ascii="Times New Roman" w:hAnsi="Times New Roman"/>
                <w:b/>
                <w:sz w:val="24"/>
                <w:szCs w:val="24"/>
                <w:lang w:eastAsia="ru-RU"/>
              </w:rPr>
              <w:t>Кимовский район</w:t>
            </w:r>
          </w:p>
        </w:tc>
        <w:tc>
          <w:tcPr>
            <w:tcW w:w="1843" w:type="dxa"/>
            <w:tcBorders>
              <w:top w:val="single" w:sz="6" w:space="0" w:color="000000"/>
              <w:left w:val="single" w:sz="2" w:space="0" w:color="808080"/>
              <w:bottom w:val="single" w:sz="6" w:space="0" w:color="000000"/>
              <w:right w:val="single" w:sz="2" w:space="0" w:color="808080"/>
            </w:tcBorders>
            <w:shd w:val="clear" w:color="auto" w:fill="auto"/>
          </w:tcPr>
          <w:p w:rsidR="00CB4378" w:rsidRPr="007F4548" w:rsidRDefault="00CB4378" w:rsidP="007F4548">
            <w:pPr>
              <w:spacing w:after="0" w:line="240" w:lineRule="auto"/>
              <w:jc w:val="center"/>
              <w:rPr>
                <w:rFonts w:ascii="Times New Roman" w:hAnsi="Times New Roman"/>
                <w:b/>
                <w:sz w:val="24"/>
                <w:szCs w:val="24"/>
                <w:lang w:eastAsia="ru-RU"/>
              </w:rPr>
            </w:pPr>
            <w:r w:rsidRPr="007F4548">
              <w:rPr>
                <w:rFonts w:ascii="Times New Roman" w:hAnsi="Times New Roman"/>
                <w:b/>
                <w:sz w:val="24"/>
                <w:szCs w:val="24"/>
                <w:lang w:eastAsia="ru-RU"/>
              </w:rPr>
              <w:t>3</w:t>
            </w:r>
            <w:r w:rsidR="00243A4D" w:rsidRPr="007F4548">
              <w:rPr>
                <w:rFonts w:ascii="Times New Roman" w:hAnsi="Times New Roman"/>
                <w:b/>
                <w:sz w:val="24"/>
                <w:szCs w:val="24"/>
                <w:lang w:eastAsia="ru-RU"/>
              </w:rPr>
              <w:t>8,</w:t>
            </w:r>
            <w:r w:rsidR="007F4548" w:rsidRPr="007F4548">
              <w:rPr>
                <w:rFonts w:ascii="Times New Roman" w:hAnsi="Times New Roman"/>
                <w:b/>
                <w:sz w:val="24"/>
                <w:szCs w:val="24"/>
                <w:lang w:eastAsia="ru-RU"/>
              </w:rPr>
              <w:t>0</w:t>
            </w:r>
          </w:p>
        </w:tc>
        <w:tc>
          <w:tcPr>
            <w:tcW w:w="1701" w:type="dxa"/>
            <w:tcBorders>
              <w:top w:val="single" w:sz="6" w:space="0" w:color="000000"/>
              <w:left w:val="single" w:sz="2" w:space="0" w:color="808080"/>
              <w:bottom w:val="single" w:sz="6" w:space="0" w:color="000000"/>
              <w:right w:val="single" w:sz="2" w:space="0" w:color="808080"/>
            </w:tcBorders>
            <w:shd w:val="clear" w:color="auto" w:fill="auto"/>
          </w:tcPr>
          <w:p w:rsidR="00CB4378" w:rsidRPr="007F4548" w:rsidRDefault="00CB4378" w:rsidP="00911873">
            <w:pPr>
              <w:spacing w:after="0" w:line="240" w:lineRule="auto"/>
              <w:jc w:val="center"/>
              <w:rPr>
                <w:rFonts w:ascii="Times New Roman" w:hAnsi="Times New Roman"/>
                <w:b/>
                <w:sz w:val="24"/>
                <w:szCs w:val="24"/>
                <w:lang w:eastAsia="ru-RU"/>
              </w:rPr>
            </w:pPr>
            <w:r w:rsidRPr="007F4548">
              <w:rPr>
                <w:rFonts w:ascii="Times New Roman" w:hAnsi="Times New Roman"/>
                <w:b/>
                <w:sz w:val="24"/>
                <w:szCs w:val="24"/>
                <w:lang w:eastAsia="ru-RU"/>
              </w:rPr>
              <w:t>г. Кимовск</w:t>
            </w:r>
          </w:p>
        </w:tc>
        <w:tc>
          <w:tcPr>
            <w:tcW w:w="2588" w:type="dxa"/>
            <w:tcBorders>
              <w:top w:val="single" w:sz="6" w:space="0" w:color="000000"/>
              <w:left w:val="single" w:sz="2" w:space="0" w:color="808080"/>
              <w:bottom w:val="single" w:sz="6" w:space="0" w:color="000000"/>
              <w:right w:val="single" w:sz="6" w:space="0" w:color="000000"/>
            </w:tcBorders>
            <w:shd w:val="clear" w:color="auto" w:fill="auto"/>
          </w:tcPr>
          <w:p w:rsidR="00CB4378" w:rsidRPr="007F4548" w:rsidRDefault="00243A4D" w:rsidP="00911873">
            <w:pPr>
              <w:spacing w:after="0" w:line="240" w:lineRule="auto"/>
              <w:jc w:val="center"/>
              <w:rPr>
                <w:rFonts w:ascii="Times New Roman" w:hAnsi="Times New Roman"/>
                <w:b/>
                <w:bCs/>
                <w:sz w:val="24"/>
                <w:szCs w:val="24"/>
                <w:lang w:eastAsia="ru-RU"/>
              </w:rPr>
            </w:pPr>
            <w:r w:rsidRPr="007F4548">
              <w:rPr>
                <w:rFonts w:ascii="Times New Roman" w:hAnsi="Times New Roman"/>
                <w:b/>
                <w:sz w:val="24"/>
                <w:szCs w:val="24"/>
              </w:rPr>
              <w:t>https://kimovsk.tularegion.ru</w:t>
            </w:r>
          </w:p>
        </w:tc>
      </w:tr>
    </w:tbl>
    <w:p w:rsidR="00EC4D96" w:rsidRPr="007F4548" w:rsidRDefault="00EC4D96" w:rsidP="00EC4D96">
      <w:pPr>
        <w:spacing w:after="0" w:line="240" w:lineRule="auto"/>
        <w:ind w:firstLine="709"/>
        <w:jc w:val="both"/>
        <w:rPr>
          <w:rFonts w:ascii="Times New Roman" w:hAnsi="Times New Roman"/>
          <w:sz w:val="28"/>
          <w:szCs w:val="28"/>
        </w:rPr>
      </w:pPr>
    </w:p>
    <w:p w:rsidR="00EC4D96" w:rsidRPr="00B314AD" w:rsidRDefault="00EC4D96" w:rsidP="00911873">
      <w:pPr>
        <w:spacing w:after="0" w:line="240" w:lineRule="auto"/>
        <w:ind w:firstLine="709"/>
        <w:jc w:val="both"/>
        <w:rPr>
          <w:rFonts w:ascii="Times New Roman" w:hAnsi="Times New Roman"/>
          <w:sz w:val="28"/>
          <w:szCs w:val="28"/>
          <w:highlight w:val="yellow"/>
        </w:rPr>
      </w:pPr>
      <w:proofErr w:type="gramStart"/>
      <w:r w:rsidRPr="007F4548">
        <w:rPr>
          <w:rFonts w:ascii="Times New Roman" w:hAnsi="Times New Roman"/>
          <w:sz w:val="28"/>
          <w:szCs w:val="28"/>
        </w:rPr>
        <w:t xml:space="preserve">а)  Муниципальное образование Кимовский район образовано (установлены границы, наделено соответствующим статусом, определены административный центр и перечень поселений, входящих в состав муниципального района) в соответствии с </w:t>
      </w:r>
      <w:r w:rsidRPr="007F4548">
        <w:rPr>
          <w:rFonts w:ascii="Times New Roman" w:hAnsi="Times New Roman"/>
          <w:color w:val="000000"/>
          <w:sz w:val="28"/>
          <w:szCs w:val="28"/>
        </w:rPr>
        <w:t xml:space="preserve">Законом Тульской области от 11 марта 2005 года № 547 – ЗТО «О переименовании муниципального образования - город Кимовск и Кимовский район Тульской области, установлении границ, наделении статусом и определении административных </w:t>
      </w:r>
      <w:r w:rsidRPr="00261C2D">
        <w:rPr>
          <w:rFonts w:ascii="Times New Roman" w:hAnsi="Times New Roman"/>
          <w:color w:val="000000"/>
          <w:sz w:val="28"/>
          <w:szCs w:val="28"/>
        </w:rPr>
        <w:t>центров муниципальных образований на территории Кимовского района</w:t>
      </w:r>
      <w:proofErr w:type="gramEnd"/>
      <w:r w:rsidRPr="00261C2D">
        <w:rPr>
          <w:rFonts w:ascii="Times New Roman" w:hAnsi="Times New Roman"/>
          <w:color w:val="000000"/>
          <w:sz w:val="28"/>
          <w:szCs w:val="28"/>
        </w:rPr>
        <w:t xml:space="preserve"> Тульской области».</w:t>
      </w:r>
    </w:p>
    <w:p w:rsidR="00EC4D96" w:rsidRPr="00B314AD" w:rsidRDefault="007F4548" w:rsidP="00911873">
      <w:pPr>
        <w:spacing w:after="0" w:line="240" w:lineRule="auto"/>
        <w:ind w:firstLine="709"/>
        <w:jc w:val="both"/>
        <w:rPr>
          <w:rFonts w:ascii="Times New Roman" w:hAnsi="Times New Roman"/>
          <w:sz w:val="28"/>
          <w:szCs w:val="28"/>
          <w:highlight w:val="yellow"/>
        </w:rPr>
      </w:pPr>
      <w:r>
        <w:rPr>
          <w:rFonts w:ascii="Times New Roman" w:hAnsi="Times New Roman"/>
          <w:noProof/>
          <w:sz w:val="28"/>
          <w:szCs w:val="28"/>
          <w:lang w:eastAsia="ru-RU"/>
        </w:rPr>
        <w:lastRenderedPageBreak/>
        <w:drawing>
          <wp:inline distT="0" distB="0" distL="0" distR="0">
            <wp:extent cx="5400675" cy="4152900"/>
            <wp:effectExtent l="19050" t="0" r="9525" b="0"/>
            <wp:docPr id="10" name="Рисунок 1" descr="C:\Users\Vorogushina\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orogushina\Desktop\Безымянный.png"/>
                    <pic:cNvPicPr>
                      <a:picLocks noChangeAspect="1" noChangeArrowheads="1"/>
                    </pic:cNvPicPr>
                  </pic:nvPicPr>
                  <pic:blipFill>
                    <a:blip r:embed="rId7" cstate="print"/>
                    <a:srcRect/>
                    <a:stretch>
                      <a:fillRect/>
                    </a:stretch>
                  </pic:blipFill>
                  <pic:spPr bwMode="auto">
                    <a:xfrm>
                      <a:off x="0" y="0"/>
                      <a:ext cx="5400675" cy="4152900"/>
                    </a:xfrm>
                    <a:prstGeom prst="rect">
                      <a:avLst/>
                    </a:prstGeom>
                    <a:noFill/>
                    <a:ln w="9525">
                      <a:noFill/>
                      <a:miter lim="800000"/>
                      <a:headEnd/>
                      <a:tailEnd/>
                    </a:ln>
                  </pic:spPr>
                </pic:pic>
              </a:graphicData>
            </a:graphic>
          </wp:inline>
        </w:drawing>
      </w:r>
    </w:p>
    <w:p w:rsidR="00EC4D96" w:rsidRPr="00B314AD" w:rsidRDefault="00EC4D96" w:rsidP="00911873">
      <w:pPr>
        <w:spacing w:after="0" w:line="240" w:lineRule="auto"/>
        <w:ind w:firstLine="709"/>
        <w:jc w:val="both"/>
        <w:rPr>
          <w:rFonts w:ascii="Times New Roman" w:hAnsi="Times New Roman"/>
          <w:color w:val="000000"/>
          <w:sz w:val="28"/>
          <w:szCs w:val="28"/>
          <w:highlight w:val="yellow"/>
        </w:rPr>
      </w:pPr>
    </w:p>
    <w:p w:rsidR="00C67CA0" w:rsidRPr="007C17CC" w:rsidRDefault="00C67CA0" w:rsidP="00911873">
      <w:pPr>
        <w:spacing w:after="0" w:line="240" w:lineRule="auto"/>
        <w:ind w:firstLine="709"/>
        <w:jc w:val="both"/>
        <w:rPr>
          <w:rFonts w:ascii="Times New Roman" w:hAnsi="Times New Roman"/>
          <w:color w:val="000000"/>
          <w:sz w:val="28"/>
          <w:szCs w:val="28"/>
        </w:rPr>
      </w:pPr>
      <w:r w:rsidRPr="007C17CC">
        <w:rPr>
          <w:rFonts w:ascii="Times New Roman" w:hAnsi="Times New Roman"/>
          <w:color w:val="000000"/>
          <w:sz w:val="28"/>
          <w:szCs w:val="28"/>
        </w:rPr>
        <w:t>б) Административный центр муниципального образования - г. Кимовск.</w:t>
      </w:r>
    </w:p>
    <w:p w:rsidR="00C67CA0" w:rsidRPr="007C17CC" w:rsidRDefault="00C67CA0" w:rsidP="00911873">
      <w:pPr>
        <w:spacing w:after="0" w:line="240" w:lineRule="auto"/>
        <w:ind w:firstLine="709"/>
        <w:jc w:val="both"/>
        <w:rPr>
          <w:rFonts w:ascii="Times New Roman" w:hAnsi="Times New Roman"/>
          <w:color w:val="000000"/>
          <w:sz w:val="28"/>
          <w:szCs w:val="28"/>
        </w:rPr>
      </w:pPr>
      <w:r w:rsidRPr="007C17CC">
        <w:rPr>
          <w:rFonts w:ascii="Times New Roman" w:hAnsi="Times New Roman"/>
          <w:color w:val="000000"/>
          <w:sz w:val="28"/>
          <w:szCs w:val="28"/>
        </w:rPr>
        <w:t>в) В</w:t>
      </w:r>
      <w:r w:rsidRPr="007C17CC">
        <w:rPr>
          <w:rFonts w:ascii="Times New Roman" w:hAnsi="Times New Roman"/>
          <w:i/>
          <w:color w:val="000000"/>
          <w:sz w:val="28"/>
          <w:szCs w:val="28"/>
        </w:rPr>
        <w:t xml:space="preserve"> </w:t>
      </w:r>
      <w:r w:rsidRPr="007C17CC">
        <w:rPr>
          <w:rFonts w:ascii="Times New Roman" w:hAnsi="Times New Roman"/>
          <w:color w:val="000000"/>
          <w:sz w:val="28"/>
          <w:szCs w:val="28"/>
        </w:rPr>
        <w:t xml:space="preserve">состав муниципального района входят 1 </w:t>
      </w:r>
      <w:proofErr w:type="gramStart"/>
      <w:r w:rsidRPr="007C17CC">
        <w:rPr>
          <w:rFonts w:ascii="Times New Roman" w:hAnsi="Times New Roman"/>
          <w:color w:val="000000"/>
          <w:sz w:val="28"/>
          <w:szCs w:val="28"/>
        </w:rPr>
        <w:t>городское</w:t>
      </w:r>
      <w:proofErr w:type="gramEnd"/>
      <w:r w:rsidRPr="007C17CC">
        <w:rPr>
          <w:rFonts w:ascii="Times New Roman" w:hAnsi="Times New Roman"/>
          <w:color w:val="000000"/>
          <w:sz w:val="28"/>
          <w:szCs w:val="28"/>
        </w:rPr>
        <w:t xml:space="preserve"> и </w:t>
      </w:r>
      <w:r w:rsidR="00B712B9" w:rsidRPr="007C17CC">
        <w:rPr>
          <w:rFonts w:ascii="Times New Roman" w:hAnsi="Times New Roman"/>
          <w:color w:val="000000"/>
          <w:sz w:val="28"/>
          <w:szCs w:val="28"/>
        </w:rPr>
        <w:t>2</w:t>
      </w:r>
      <w:r w:rsidRPr="007C17CC">
        <w:rPr>
          <w:rFonts w:ascii="Times New Roman" w:hAnsi="Times New Roman"/>
          <w:color w:val="000000"/>
          <w:sz w:val="28"/>
          <w:szCs w:val="28"/>
        </w:rPr>
        <w:t xml:space="preserve"> сельских поселени</w:t>
      </w:r>
      <w:r w:rsidR="00B712B9" w:rsidRPr="007C17CC">
        <w:rPr>
          <w:rFonts w:ascii="Times New Roman" w:hAnsi="Times New Roman"/>
          <w:color w:val="000000"/>
          <w:sz w:val="28"/>
          <w:szCs w:val="28"/>
        </w:rPr>
        <w:t>я</w:t>
      </w:r>
      <w:r w:rsidRPr="007C17CC">
        <w:rPr>
          <w:rFonts w:ascii="Times New Roman" w:hAnsi="Times New Roman"/>
          <w:color w:val="000000"/>
          <w:sz w:val="28"/>
          <w:szCs w:val="28"/>
        </w:rPr>
        <w:t>.</w:t>
      </w:r>
    </w:p>
    <w:p w:rsidR="00F345DF" w:rsidRPr="007C17CC" w:rsidRDefault="00C67CA0" w:rsidP="00911873">
      <w:pPr>
        <w:autoSpaceDE w:val="0"/>
        <w:autoSpaceDN w:val="0"/>
        <w:adjustRightInd w:val="0"/>
        <w:spacing w:after="0" w:line="240" w:lineRule="auto"/>
        <w:ind w:firstLine="540"/>
        <w:jc w:val="both"/>
        <w:rPr>
          <w:rFonts w:ascii="Times New Roman" w:hAnsi="Times New Roman"/>
          <w:color w:val="000000"/>
          <w:sz w:val="28"/>
          <w:szCs w:val="28"/>
        </w:rPr>
      </w:pPr>
      <w:r w:rsidRPr="007C17CC">
        <w:rPr>
          <w:rFonts w:ascii="Times New Roman" w:hAnsi="Times New Roman"/>
          <w:color w:val="000000"/>
          <w:sz w:val="28"/>
          <w:szCs w:val="28"/>
        </w:rPr>
        <w:t xml:space="preserve">   г) </w:t>
      </w:r>
      <w:r w:rsidR="00F345DF" w:rsidRPr="007C17CC">
        <w:rPr>
          <w:rFonts w:ascii="Times New Roman" w:hAnsi="Times New Roman"/>
          <w:color w:val="000000"/>
          <w:sz w:val="28"/>
          <w:szCs w:val="28"/>
        </w:rPr>
        <w:t>После</w:t>
      </w:r>
      <w:r w:rsidRPr="007C17CC">
        <w:rPr>
          <w:rFonts w:ascii="Times New Roman" w:hAnsi="Times New Roman"/>
          <w:i/>
          <w:color w:val="000000"/>
          <w:sz w:val="28"/>
          <w:szCs w:val="28"/>
        </w:rPr>
        <w:t xml:space="preserve"> </w:t>
      </w:r>
      <w:r w:rsidRPr="007C17CC">
        <w:rPr>
          <w:rFonts w:ascii="Times New Roman" w:hAnsi="Times New Roman"/>
          <w:color w:val="000000"/>
          <w:sz w:val="28"/>
          <w:szCs w:val="28"/>
        </w:rPr>
        <w:t>2009 года</w:t>
      </w:r>
      <w:r w:rsidR="00F345DF" w:rsidRPr="007C17CC">
        <w:rPr>
          <w:rFonts w:ascii="Times New Roman" w:hAnsi="Times New Roman"/>
          <w:color w:val="000000"/>
          <w:sz w:val="28"/>
          <w:szCs w:val="28"/>
        </w:rPr>
        <w:t>:</w:t>
      </w:r>
    </w:p>
    <w:p w:rsidR="00364319" w:rsidRPr="007C17CC" w:rsidRDefault="00364319" w:rsidP="00911873">
      <w:pPr>
        <w:autoSpaceDE w:val="0"/>
        <w:autoSpaceDN w:val="0"/>
        <w:adjustRightInd w:val="0"/>
        <w:spacing w:after="0" w:line="240" w:lineRule="auto"/>
        <w:ind w:firstLine="540"/>
        <w:jc w:val="both"/>
        <w:rPr>
          <w:rFonts w:ascii="Times New Roman" w:hAnsi="Times New Roman"/>
          <w:sz w:val="28"/>
          <w:szCs w:val="28"/>
        </w:rPr>
      </w:pPr>
      <w:r w:rsidRPr="007C17CC">
        <w:rPr>
          <w:rFonts w:ascii="Times New Roman" w:hAnsi="Times New Roman"/>
          <w:sz w:val="28"/>
          <w:szCs w:val="28"/>
        </w:rPr>
        <w:t xml:space="preserve">- </w:t>
      </w:r>
      <w:r w:rsidR="00C67CA0" w:rsidRPr="007C17CC">
        <w:rPr>
          <w:rFonts w:ascii="Times New Roman" w:hAnsi="Times New Roman"/>
          <w:sz w:val="28"/>
          <w:szCs w:val="28"/>
        </w:rPr>
        <w:t>Законом Тульской области от 06.04.2010 N 1428-ЗТО "О реорганизации административно-территориальных единиц</w:t>
      </w:r>
      <w:r w:rsidRPr="007C17CC">
        <w:rPr>
          <w:rFonts w:ascii="Times New Roman" w:hAnsi="Times New Roman"/>
          <w:sz w:val="28"/>
          <w:szCs w:val="28"/>
        </w:rPr>
        <w:t xml:space="preserve"> Кимовского района поселки </w:t>
      </w:r>
      <w:r w:rsidR="00C67CA0" w:rsidRPr="007C17CC">
        <w:rPr>
          <w:rFonts w:ascii="Times New Roman" w:hAnsi="Times New Roman"/>
          <w:sz w:val="28"/>
          <w:szCs w:val="28"/>
        </w:rPr>
        <w:t xml:space="preserve"> </w:t>
      </w:r>
      <w:r w:rsidRPr="007C17CC">
        <w:rPr>
          <w:rFonts w:ascii="Times New Roman" w:hAnsi="Times New Roman"/>
          <w:sz w:val="28"/>
          <w:szCs w:val="28"/>
        </w:rPr>
        <w:t xml:space="preserve">Новый, Старый, Мирный, Ясный, Шахтинский, Весенний, Зеркальный, Зубовский, Угольный, Строитель, Гранковский, Сельхозтехника, Левобережный присоединены к </w:t>
      </w:r>
      <w:r w:rsidR="00C67CA0" w:rsidRPr="007C17CC">
        <w:rPr>
          <w:rFonts w:ascii="Times New Roman" w:hAnsi="Times New Roman"/>
          <w:sz w:val="28"/>
          <w:szCs w:val="28"/>
        </w:rPr>
        <w:t xml:space="preserve"> территори</w:t>
      </w:r>
      <w:r w:rsidRPr="007C17CC">
        <w:rPr>
          <w:rFonts w:ascii="Times New Roman" w:hAnsi="Times New Roman"/>
          <w:sz w:val="28"/>
          <w:szCs w:val="28"/>
        </w:rPr>
        <w:t>и</w:t>
      </w:r>
      <w:r w:rsidR="00C67CA0" w:rsidRPr="007C17CC">
        <w:rPr>
          <w:rFonts w:ascii="Times New Roman" w:hAnsi="Times New Roman"/>
          <w:sz w:val="28"/>
          <w:szCs w:val="28"/>
        </w:rPr>
        <w:t xml:space="preserve"> города Кимовска</w:t>
      </w:r>
      <w:r w:rsidRPr="007C17CC">
        <w:rPr>
          <w:rFonts w:ascii="Times New Roman" w:hAnsi="Times New Roman"/>
          <w:sz w:val="28"/>
          <w:szCs w:val="28"/>
        </w:rPr>
        <w:t xml:space="preserve">. В соответствии с решением Собрания депутатов муниципального образования город </w:t>
      </w:r>
      <w:proofErr w:type="spellStart"/>
      <w:r w:rsidRPr="007C17CC">
        <w:rPr>
          <w:rFonts w:ascii="Times New Roman" w:hAnsi="Times New Roman"/>
          <w:sz w:val="28"/>
          <w:szCs w:val="28"/>
        </w:rPr>
        <w:t>Кимовск</w:t>
      </w:r>
      <w:proofErr w:type="spellEnd"/>
      <w:r w:rsidRPr="007C17CC">
        <w:rPr>
          <w:rFonts w:ascii="Times New Roman" w:hAnsi="Times New Roman"/>
          <w:sz w:val="28"/>
          <w:szCs w:val="28"/>
        </w:rPr>
        <w:t xml:space="preserve"> </w:t>
      </w:r>
      <w:proofErr w:type="spellStart"/>
      <w:r w:rsidRPr="007C17CC">
        <w:rPr>
          <w:rFonts w:ascii="Times New Roman" w:hAnsi="Times New Roman"/>
          <w:sz w:val="28"/>
          <w:szCs w:val="28"/>
        </w:rPr>
        <w:t>Кимовского</w:t>
      </w:r>
      <w:proofErr w:type="spellEnd"/>
      <w:r w:rsidRPr="007C17CC">
        <w:rPr>
          <w:rFonts w:ascii="Times New Roman" w:hAnsi="Times New Roman"/>
          <w:sz w:val="28"/>
          <w:szCs w:val="28"/>
        </w:rPr>
        <w:t xml:space="preserve"> района от 14.12.12 № 63-339 «О внесении изменений в решение Собрания депутатов муниципального образования город </w:t>
      </w:r>
      <w:proofErr w:type="spellStart"/>
      <w:r w:rsidRPr="007C17CC">
        <w:rPr>
          <w:rFonts w:ascii="Times New Roman" w:hAnsi="Times New Roman"/>
          <w:sz w:val="28"/>
          <w:szCs w:val="28"/>
        </w:rPr>
        <w:t>Кимовск</w:t>
      </w:r>
      <w:proofErr w:type="spellEnd"/>
      <w:r w:rsidRPr="007C17CC">
        <w:rPr>
          <w:rFonts w:ascii="Times New Roman" w:hAnsi="Times New Roman"/>
          <w:sz w:val="28"/>
          <w:szCs w:val="28"/>
        </w:rPr>
        <w:t xml:space="preserve"> </w:t>
      </w:r>
      <w:proofErr w:type="spellStart"/>
      <w:r w:rsidRPr="007C17CC">
        <w:rPr>
          <w:rFonts w:ascii="Times New Roman" w:hAnsi="Times New Roman"/>
          <w:sz w:val="28"/>
          <w:szCs w:val="28"/>
        </w:rPr>
        <w:t>Кимовского</w:t>
      </w:r>
      <w:proofErr w:type="spellEnd"/>
      <w:r w:rsidRPr="007C17CC">
        <w:rPr>
          <w:rFonts w:ascii="Times New Roman" w:hAnsi="Times New Roman"/>
          <w:sz w:val="28"/>
          <w:szCs w:val="28"/>
        </w:rPr>
        <w:t xml:space="preserve"> района</w:t>
      </w:r>
      <w:r w:rsidR="00377CF4" w:rsidRPr="007C17CC">
        <w:rPr>
          <w:rFonts w:ascii="Times New Roman" w:hAnsi="Times New Roman"/>
          <w:sz w:val="28"/>
          <w:szCs w:val="28"/>
        </w:rPr>
        <w:t xml:space="preserve"> от 15.06.2012 № 53-291</w:t>
      </w:r>
      <w:r w:rsidRPr="007C17CC">
        <w:rPr>
          <w:rFonts w:ascii="Times New Roman" w:hAnsi="Times New Roman"/>
          <w:sz w:val="28"/>
          <w:szCs w:val="28"/>
        </w:rPr>
        <w:t xml:space="preserve"> «О реорганизации</w:t>
      </w:r>
      <w:r w:rsidR="00377CF4" w:rsidRPr="007C17CC">
        <w:rPr>
          <w:rFonts w:ascii="Times New Roman" w:hAnsi="Times New Roman"/>
          <w:sz w:val="28"/>
          <w:szCs w:val="28"/>
        </w:rPr>
        <w:t xml:space="preserve"> </w:t>
      </w:r>
      <w:r w:rsidR="000B20ED" w:rsidRPr="007C17CC">
        <w:rPr>
          <w:rFonts w:ascii="Times New Roman" w:hAnsi="Times New Roman"/>
          <w:sz w:val="28"/>
          <w:szCs w:val="28"/>
        </w:rPr>
        <w:t xml:space="preserve"> административно-территориальных единиц на территории муниципального образования город </w:t>
      </w:r>
      <w:proofErr w:type="spellStart"/>
      <w:r w:rsidR="000B20ED" w:rsidRPr="007C17CC">
        <w:rPr>
          <w:rFonts w:ascii="Times New Roman" w:hAnsi="Times New Roman"/>
          <w:sz w:val="28"/>
          <w:szCs w:val="28"/>
        </w:rPr>
        <w:t>Кимовск</w:t>
      </w:r>
      <w:proofErr w:type="spellEnd"/>
      <w:r w:rsidR="000B20ED" w:rsidRPr="007C17CC">
        <w:rPr>
          <w:rFonts w:ascii="Times New Roman" w:hAnsi="Times New Roman"/>
          <w:sz w:val="28"/>
          <w:szCs w:val="28"/>
        </w:rPr>
        <w:t xml:space="preserve"> </w:t>
      </w:r>
      <w:proofErr w:type="spellStart"/>
      <w:r w:rsidR="000B20ED" w:rsidRPr="007C17CC">
        <w:rPr>
          <w:rFonts w:ascii="Times New Roman" w:hAnsi="Times New Roman"/>
          <w:sz w:val="28"/>
          <w:szCs w:val="28"/>
        </w:rPr>
        <w:t>Кимовского</w:t>
      </w:r>
      <w:proofErr w:type="spellEnd"/>
      <w:r w:rsidR="000B20ED" w:rsidRPr="007C17CC">
        <w:rPr>
          <w:rFonts w:ascii="Times New Roman" w:hAnsi="Times New Roman"/>
          <w:sz w:val="28"/>
          <w:szCs w:val="28"/>
        </w:rPr>
        <w:t xml:space="preserve"> района» указанным поселкам присвоен статус микрорайонов;</w:t>
      </w:r>
      <w:r w:rsidRPr="007C17CC">
        <w:rPr>
          <w:rFonts w:ascii="Times New Roman" w:hAnsi="Times New Roman"/>
          <w:sz w:val="28"/>
          <w:szCs w:val="28"/>
        </w:rPr>
        <w:t xml:space="preserve"> </w:t>
      </w:r>
    </w:p>
    <w:p w:rsidR="00C67CA0" w:rsidRPr="007C17CC" w:rsidRDefault="00C67CA0" w:rsidP="00911873">
      <w:pPr>
        <w:autoSpaceDE w:val="0"/>
        <w:autoSpaceDN w:val="0"/>
        <w:adjustRightInd w:val="0"/>
        <w:spacing w:after="0" w:line="240" w:lineRule="auto"/>
        <w:ind w:firstLine="540"/>
        <w:jc w:val="both"/>
        <w:rPr>
          <w:rFonts w:ascii="Times New Roman" w:hAnsi="Times New Roman"/>
          <w:sz w:val="28"/>
          <w:szCs w:val="28"/>
        </w:rPr>
      </w:pPr>
      <w:proofErr w:type="gramStart"/>
      <w:r w:rsidRPr="007C17CC">
        <w:rPr>
          <w:rFonts w:ascii="Times New Roman" w:hAnsi="Times New Roman"/>
          <w:color w:val="000000"/>
          <w:sz w:val="28"/>
          <w:szCs w:val="28"/>
        </w:rPr>
        <w:t xml:space="preserve">- В соответствии с </w:t>
      </w:r>
      <w:r w:rsidRPr="007C17CC">
        <w:rPr>
          <w:rFonts w:ascii="Times New Roman" w:hAnsi="Times New Roman"/>
          <w:sz w:val="28"/>
          <w:szCs w:val="28"/>
        </w:rPr>
        <w:t xml:space="preserve">Законом Тульской области от 20.07.2011 № 1595-ЗТО "О преобразовании муниципальных образований на территории Кимовского района Тульской области и о внесении изменений в Закон Тульской области "О переименовании муниципального образования - город Кимовск и Кимовский район Тульской области, установлении границ, наделении статусом и определении административных центров муниципальных </w:t>
      </w:r>
      <w:r w:rsidRPr="007C17CC">
        <w:rPr>
          <w:rFonts w:ascii="Times New Roman" w:hAnsi="Times New Roman"/>
          <w:sz w:val="28"/>
          <w:szCs w:val="28"/>
        </w:rPr>
        <w:lastRenderedPageBreak/>
        <w:t>образований на территории Кимовского района Тульской области"</w:t>
      </w:r>
      <w:r w:rsidR="00C820E0" w:rsidRPr="007C17CC">
        <w:rPr>
          <w:rFonts w:ascii="Times New Roman" w:hAnsi="Times New Roman"/>
          <w:sz w:val="28"/>
          <w:szCs w:val="28"/>
        </w:rPr>
        <w:t xml:space="preserve"> </w:t>
      </w:r>
      <w:r w:rsidRPr="007C17CC">
        <w:rPr>
          <w:rFonts w:ascii="Times New Roman" w:hAnsi="Times New Roman"/>
          <w:sz w:val="28"/>
          <w:szCs w:val="28"/>
        </w:rPr>
        <w:t>(принят Тульской областной Думой 14.07.2011)</w:t>
      </w:r>
      <w:r w:rsidR="00AD60D3" w:rsidRPr="007C17CC">
        <w:rPr>
          <w:rFonts w:ascii="Times New Roman" w:hAnsi="Times New Roman"/>
          <w:sz w:val="28"/>
          <w:szCs w:val="28"/>
        </w:rPr>
        <w:t>:</w:t>
      </w:r>
      <w:proofErr w:type="gramEnd"/>
    </w:p>
    <w:p w:rsidR="00C67CA0" w:rsidRPr="007C17CC" w:rsidRDefault="00C67CA0" w:rsidP="00911873">
      <w:pPr>
        <w:autoSpaceDE w:val="0"/>
        <w:autoSpaceDN w:val="0"/>
        <w:adjustRightInd w:val="0"/>
        <w:spacing w:after="0" w:line="240" w:lineRule="auto"/>
        <w:ind w:firstLine="540"/>
        <w:jc w:val="both"/>
        <w:rPr>
          <w:rFonts w:ascii="Times New Roman" w:hAnsi="Times New Roman"/>
          <w:sz w:val="28"/>
          <w:szCs w:val="28"/>
        </w:rPr>
      </w:pPr>
      <w:r w:rsidRPr="007C17CC">
        <w:rPr>
          <w:rFonts w:ascii="Times New Roman" w:hAnsi="Times New Roman"/>
          <w:sz w:val="28"/>
          <w:szCs w:val="28"/>
        </w:rPr>
        <w:t xml:space="preserve">- муниципальное образование рабочий поселок Епифань Кимовского района и муниципальное образование </w:t>
      </w:r>
      <w:proofErr w:type="spellStart"/>
      <w:r w:rsidRPr="007C17CC">
        <w:rPr>
          <w:rFonts w:ascii="Times New Roman" w:hAnsi="Times New Roman"/>
          <w:sz w:val="28"/>
          <w:szCs w:val="28"/>
        </w:rPr>
        <w:t>Кораблинское</w:t>
      </w:r>
      <w:proofErr w:type="spellEnd"/>
      <w:r w:rsidRPr="007C17CC">
        <w:rPr>
          <w:rFonts w:ascii="Times New Roman" w:hAnsi="Times New Roman"/>
          <w:sz w:val="28"/>
          <w:szCs w:val="28"/>
        </w:rPr>
        <w:t xml:space="preserve"> </w:t>
      </w:r>
      <w:proofErr w:type="spellStart"/>
      <w:r w:rsidRPr="007C17CC">
        <w:rPr>
          <w:rFonts w:ascii="Times New Roman" w:hAnsi="Times New Roman"/>
          <w:sz w:val="28"/>
          <w:szCs w:val="28"/>
        </w:rPr>
        <w:t>Кимовского</w:t>
      </w:r>
      <w:proofErr w:type="spellEnd"/>
      <w:r w:rsidRPr="007C17CC">
        <w:rPr>
          <w:rFonts w:ascii="Times New Roman" w:hAnsi="Times New Roman"/>
          <w:sz w:val="28"/>
          <w:szCs w:val="28"/>
        </w:rPr>
        <w:t xml:space="preserve"> района преобразованы путем их объединения в муниципальное образование </w:t>
      </w:r>
      <w:proofErr w:type="spellStart"/>
      <w:r w:rsidRPr="007C17CC">
        <w:rPr>
          <w:rFonts w:ascii="Times New Roman" w:hAnsi="Times New Roman"/>
          <w:sz w:val="28"/>
          <w:szCs w:val="28"/>
        </w:rPr>
        <w:t>Епифанское</w:t>
      </w:r>
      <w:proofErr w:type="spellEnd"/>
      <w:r w:rsidRPr="007C17CC">
        <w:rPr>
          <w:rFonts w:ascii="Times New Roman" w:hAnsi="Times New Roman"/>
          <w:sz w:val="28"/>
          <w:szCs w:val="28"/>
        </w:rPr>
        <w:t xml:space="preserve"> </w:t>
      </w:r>
      <w:proofErr w:type="spellStart"/>
      <w:r w:rsidRPr="007C17CC">
        <w:rPr>
          <w:rFonts w:ascii="Times New Roman" w:hAnsi="Times New Roman"/>
          <w:sz w:val="28"/>
          <w:szCs w:val="28"/>
        </w:rPr>
        <w:t>Кимовского</w:t>
      </w:r>
      <w:proofErr w:type="spellEnd"/>
      <w:r w:rsidRPr="007C17CC">
        <w:rPr>
          <w:rFonts w:ascii="Times New Roman" w:hAnsi="Times New Roman"/>
          <w:sz w:val="28"/>
          <w:szCs w:val="28"/>
        </w:rPr>
        <w:t xml:space="preserve"> района.</w:t>
      </w:r>
    </w:p>
    <w:p w:rsidR="00C67CA0" w:rsidRPr="007C17CC" w:rsidRDefault="00C67CA0" w:rsidP="00911873">
      <w:pPr>
        <w:autoSpaceDE w:val="0"/>
        <w:autoSpaceDN w:val="0"/>
        <w:adjustRightInd w:val="0"/>
        <w:spacing w:after="0" w:line="240" w:lineRule="auto"/>
        <w:ind w:firstLine="540"/>
        <w:jc w:val="both"/>
        <w:rPr>
          <w:rFonts w:ascii="Times New Roman" w:hAnsi="Times New Roman"/>
          <w:sz w:val="28"/>
          <w:szCs w:val="28"/>
        </w:rPr>
      </w:pPr>
      <w:r w:rsidRPr="007C17CC">
        <w:rPr>
          <w:rFonts w:ascii="Times New Roman" w:hAnsi="Times New Roman"/>
          <w:sz w:val="28"/>
          <w:szCs w:val="28"/>
        </w:rPr>
        <w:t xml:space="preserve">- муниципальное образование рабочий поселок </w:t>
      </w:r>
      <w:proofErr w:type="spellStart"/>
      <w:r w:rsidRPr="007C17CC">
        <w:rPr>
          <w:rFonts w:ascii="Times New Roman" w:hAnsi="Times New Roman"/>
          <w:sz w:val="28"/>
          <w:szCs w:val="28"/>
        </w:rPr>
        <w:t>Новольвовск</w:t>
      </w:r>
      <w:proofErr w:type="spellEnd"/>
      <w:r w:rsidRPr="007C17CC">
        <w:rPr>
          <w:rFonts w:ascii="Times New Roman" w:hAnsi="Times New Roman"/>
          <w:sz w:val="28"/>
          <w:szCs w:val="28"/>
        </w:rPr>
        <w:t xml:space="preserve"> </w:t>
      </w:r>
      <w:proofErr w:type="spellStart"/>
      <w:r w:rsidRPr="007C17CC">
        <w:rPr>
          <w:rFonts w:ascii="Times New Roman" w:hAnsi="Times New Roman"/>
          <w:sz w:val="28"/>
          <w:szCs w:val="28"/>
        </w:rPr>
        <w:t>Кимовского</w:t>
      </w:r>
      <w:proofErr w:type="spellEnd"/>
      <w:r w:rsidRPr="007C17CC">
        <w:rPr>
          <w:rFonts w:ascii="Times New Roman" w:hAnsi="Times New Roman"/>
          <w:sz w:val="28"/>
          <w:szCs w:val="28"/>
        </w:rPr>
        <w:t xml:space="preserve"> района и муниципальное образование Львовское Кимовского района преобразованы путем их объединения в муниципальное образование </w:t>
      </w:r>
      <w:proofErr w:type="spellStart"/>
      <w:r w:rsidRPr="007C17CC">
        <w:rPr>
          <w:rFonts w:ascii="Times New Roman" w:hAnsi="Times New Roman"/>
          <w:sz w:val="28"/>
          <w:szCs w:val="28"/>
        </w:rPr>
        <w:t>Новольвовское</w:t>
      </w:r>
      <w:proofErr w:type="spellEnd"/>
      <w:r w:rsidRPr="007C17CC">
        <w:rPr>
          <w:rFonts w:ascii="Times New Roman" w:hAnsi="Times New Roman"/>
          <w:sz w:val="28"/>
          <w:szCs w:val="28"/>
        </w:rPr>
        <w:t xml:space="preserve"> </w:t>
      </w:r>
      <w:proofErr w:type="spellStart"/>
      <w:r w:rsidRPr="007C17CC">
        <w:rPr>
          <w:rFonts w:ascii="Times New Roman" w:hAnsi="Times New Roman"/>
          <w:sz w:val="28"/>
          <w:szCs w:val="28"/>
        </w:rPr>
        <w:t>Кимовского</w:t>
      </w:r>
      <w:proofErr w:type="spellEnd"/>
      <w:r w:rsidRPr="007C17CC">
        <w:rPr>
          <w:rFonts w:ascii="Times New Roman" w:hAnsi="Times New Roman"/>
          <w:sz w:val="28"/>
          <w:szCs w:val="28"/>
        </w:rPr>
        <w:t xml:space="preserve"> района.</w:t>
      </w:r>
    </w:p>
    <w:p w:rsidR="00B712B9" w:rsidRPr="007C17CC" w:rsidRDefault="00B712B9" w:rsidP="00911873">
      <w:pPr>
        <w:autoSpaceDE w:val="0"/>
        <w:autoSpaceDN w:val="0"/>
        <w:adjustRightInd w:val="0"/>
        <w:spacing w:after="0" w:line="240" w:lineRule="auto"/>
        <w:ind w:firstLine="540"/>
        <w:jc w:val="both"/>
        <w:rPr>
          <w:rFonts w:ascii="Times New Roman" w:hAnsi="Times New Roman"/>
          <w:sz w:val="28"/>
          <w:szCs w:val="28"/>
        </w:rPr>
      </w:pPr>
      <w:proofErr w:type="gramStart"/>
      <w:r w:rsidRPr="007C17CC">
        <w:rPr>
          <w:rFonts w:ascii="Times New Roman" w:hAnsi="Times New Roman"/>
          <w:color w:val="000000"/>
          <w:sz w:val="28"/>
          <w:szCs w:val="28"/>
        </w:rPr>
        <w:t xml:space="preserve">- В соответствии с </w:t>
      </w:r>
      <w:r w:rsidRPr="007C17CC">
        <w:rPr>
          <w:rFonts w:ascii="Times New Roman" w:hAnsi="Times New Roman"/>
          <w:sz w:val="28"/>
          <w:szCs w:val="28"/>
        </w:rPr>
        <w:t>Законом Тульской области от 01.04.2013 № 1898-ЗТО "О преобразовании муниципальных образований на территории Кимовского района Тульской области и о внесении изменений в Закон Тульской области "О переименовании муниципального образования - город Кимовск и Кимовский район Тульской области, установлении границ, наделении статусом и определении административных центров муниципальных образований на территории Кимовского района Тульской области":</w:t>
      </w:r>
      <w:proofErr w:type="gramEnd"/>
    </w:p>
    <w:p w:rsidR="00B712B9" w:rsidRPr="007C17CC" w:rsidRDefault="00B712B9" w:rsidP="00911873">
      <w:pPr>
        <w:autoSpaceDE w:val="0"/>
        <w:autoSpaceDN w:val="0"/>
        <w:adjustRightInd w:val="0"/>
        <w:spacing w:after="0" w:line="240" w:lineRule="auto"/>
        <w:ind w:firstLine="540"/>
        <w:jc w:val="both"/>
        <w:rPr>
          <w:rFonts w:ascii="Times New Roman" w:hAnsi="Times New Roman"/>
          <w:sz w:val="28"/>
          <w:szCs w:val="28"/>
        </w:rPr>
      </w:pPr>
      <w:r w:rsidRPr="007C17CC">
        <w:rPr>
          <w:rFonts w:ascii="Times New Roman" w:hAnsi="Times New Roman"/>
          <w:sz w:val="28"/>
          <w:szCs w:val="28"/>
        </w:rPr>
        <w:t xml:space="preserve">- муниципальное образование </w:t>
      </w:r>
      <w:proofErr w:type="spellStart"/>
      <w:r w:rsidRPr="007C17CC">
        <w:rPr>
          <w:rFonts w:ascii="Times New Roman" w:hAnsi="Times New Roman"/>
          <w:sz w:val="28"/>
          <w:szCs w:val="28"/>
        </w:rPr>
        <w:t>Бучальское</w:t>
      </w:r>
      <w:proofErr w:type="spellEnd"/>
      <w:r w:rsidRPr="007C17CC">
        <w:rPr>
          <w:rFonts w:ascii="Times New Roman" w:hAnsi="Times New Roman"/>
          <w:sz w:val="28"/>
          <w:szCs w:val="28"/>
        </w:rPr>
        <w:t xml:space="preserve"> </w:t>
      </w:r>
      <w:proofErr w:type="spellStart"/>
      <w:r w:rsidRPr="007C17CC">
        <w:rPr>
          <w:rFonts w:ascii="Times New Roman" w:hAnsi="Times New Roman"/>
          <w:sz w:val="28"/>
          <w:szCs w:val="28"/>
        </w:rPr>
        <w:t>Кимовского</w:t>
      </w:r>
      <w:proofErr w:type="spellEnd"/>
      <w:r w:rsidRPr="007C17CC">
        <w:rPr>
          <w:rFonts w:ascii="Times New Roman" w:hAnsi="Times New Roman"/>
          <w:sz w:val="28"/>
          <w:szCs w:val="28"/>
        </w:rPr>
        <w:t xml:space="preserve"> района и муниципальное образование </w:t>
      </w:r>
      <w:proofErr w:type="spellStart"/>
      <w:r w:rsidRPr="007C17CC">
        <w:rPr>
          <w:rFonts w:ascii="Times New Roman" w:hAnsi="Times New Roman"/>
          <w:sz w:val="28"/>
          <w:szCs w:val="28"/>
        </w:rPr>
        <w:t>Епифанское</w:t>
      </w:r>
      <w:proofErr w:type="spellEnd"/>
      <w:r w:rsidRPr="007C17CC">
        <w:rPr>
          <w:rFonts w:ascii="Times New Roman" w:hAnsi="Times New Roman"/>
          <w:sz w:val="28"/>
          <w:szCs w:val="28"/>
        </w:rPr>
        <w:t xml:space="preserve"> </w:t>
      </w:r>
      <w:proofErr w:type="spellStart"/>
      <w:r w:rsidRPr="007C17CC">
        <w:rPr>
          <w:rFonts w:ascii="Times New Roman" w:hAnsi="Times New Roman"/>
          <w:sz w:val="28"/>
          <w:szCs w:val="28"/>
        </w:rPr>
        <w:t>Кимовского</w:t>
      </w:r>
      <w:proofErr w:type="spellEnd"/>
      <w:r w:rsidRPr="007C17CC">
        <w:rPr>
          <w:rFonts w:ascii="Times New Roman" w:hAnsi="Times New Roman"/>
          <w:sz w:val="28"/>
          <w:szCs w:val="28"/>
        </w:rPr>
        <w:t xml:space="preserve"> района преобразованы путем объединения в муниципальное образование </w:t>
      </w:r>
      <w:proofErr w:type="spellStart"/>
      <w:r w:rsidRPr="007C17CC">
        <w:rPr>
          <w:rFonts w:ascii="Times New Roman" w:hAnsi="Times New Roman"/>
          <w:sz w:val="28"/>
          <w:szCs w:val="28"/>
        </w:rPr>
        <w:t>Епифанское</w:t>
      </w:r>
      <w:proofErr w:type="spellEnd"/>
      <w:r w:rsidRPr="007C17CC">
        <w:rPr>
          <w:rFonts w:ascii="Times New Roman" w:hAnsi="Times New Roman"/>
          <w:sz w:val="28"/>
          <w:szCs w:val="28"/>
        </w:rPr>
        <w:t xml:space="preserve"> </w:t>
      </w:r>
      <w:proofErr w:type="spellStart"/>
      <w:r w:rsidRPr="007C17CC">
        <w:rPr>
          <w:rFonts w:ascii="Times New Roman" w:hAnsi="Times New Roman"/>
          <w:sz w:val="28"/>
          <w:szCs w:val="28"/>
        </w:rPr>
        <w:t>Кимовского</w:t>
      </w:r>
      <w:proofErr w:type="spellEnd"/>
      <w:r w:rsidRPr="007C17CC">
        <w:rPr>
          <w:rFonts w:ascii="Times New Roman" w:hAnsi="Times New Roman"/>
          <w:sz w:val="28"/>
          <w:szCs w:val="28"/>
        </w:rPr>
        <w:t xml:space="preserve"> района;</w:t>
      </w:r>
    </w:p>
    <w:p w:rsidR="00B712B9" w:rsidRPr="007C17CC" w:rsidRDefault="00B712B9" w:rsidP="00911873">
      <w:pPr>
        <w:autoSpaceDE w:val="0"/>
        <w:autoSpaceDN w:val="0"/>
        <w:adjustRightInd w:val="0"/>
        <w:spacing w:after="0" w:line="240" w:lineRule="auto"/>
        <w:ind w:firstLine="540"/>
        <w:jc w:val="both"/>
        <w:rPr>
          <w:rFonts w:ascii="Times New Roman" w:hAnsi="Times New Roman"/>
          <w:sz w:val="28"/>
          <w:szCs w:val="28"/>
        </w:rPr>
      </w:pPr>
      <w:r w:rsidRPr="007C17CC">
        <w:rPr>
          <w:rFonts w:ascii="Times New Roman" w:hAnsi="Times New Roman"/>
          <w:sz w:val="28"/>
          <w:szCs w:val="28"/>
        </w:rPr>
        <w:t xml:space="preserve">- муниципальное образование </w:t>
      </w:r>
      <w:proofErr w:type="spellStart"/>
      <w:r w:rsidRPr="007C17CC">
        <w:rPr>
          <w:rFonts w:ascii="Times New Roman" w:hAnsi="Times New Roman"/>
          <w:sz w:val="28"/>
          <w:szCs w:val="28"/>
        </w:rPr>
        <w:t>Кудашевское</w:t>
      </w:r>
      <w:proofErr w:type="spellEnd"/>
      <w:r w:rsidRPr="007C17CC">
        <w:rPr>
          <w:rFonts w:ascii="Times New Roman" w:hAnsi="Times New Roman"/>
          <w:sz w:val="28"/>
          <w:szCs w:val="28"/>
        </w:rPr>
        <w:t xml:space="preserve"> </w:t>
      </w:r>
      <w:proofErr w:type="spellStart"/>
      <w:r w:rsidRPr="007C17CC">
        <w:rPr>
          <w:rFonts w:ascii="Times New Roman" w:hAnsi="Times New Roman"/>
          <w:sz w:val="28"/>
          <w:szCs w:val="28"/>
        </w:rPr>
        <w:t>Кимовского</w:t>
      </w:r>
      <w:proofErr w:type="spellEnd"/>
      <w:r w:rsidRPr="007C17CC">
        <w:rPr>
          <w:rFonts w:ascii="Times New Roman" w:hAnsi="Times New Roman"/>
          <w:sz w:val="28"/>
          <w:szCs w:val="28"/>
        </w:rPr>
        <w:t xml:space="preserve"> района, муниципальное образование </w:t>
      </w:r>
      <w:proofErr w:type="spellStart"/>
      <w:r w:rsidRPr="007C17CC">
        <w:rPr>
          <w:rFonts w:ascii="Times New Roman" w:hAnsi="Times New Roman"/>
          <w:sz w:val="28"/>
          <w:szCs w:val="28"/>
        </w:rPr>
        <w:t>Новольвовское</w:t>
      </w:r>
      <w:proofErr w:type="spellEnd"/>
      <w:r w:rsidRPr="007C17CC">
        <w:rPr>
          <w:rFonts w:ascii="Times New Roman" w:hAnsi="Times New Roman"/>
          <w:sz w:val="28"/>
          <w:szCs w:val="28"/>
        </w:rPr>
        <w:t xml:space="preserve"> </w:t>
      </w:r>
      <w:proofErr w:type="spellStart"/>
      <w:r w:rsidRPr="007C17CC">
        <w:rPr>
          <w:rFonts w:ascii="Times New Roman" w:hAnsi="Times New Roman"/>
          <w:sz w:val="28"/>
          <w:szCs w:val="28"/>
        </w:rPr>
        <w:t>Кимовского</w:t>
      </w:r>
      <w:proofErr w:type="spellEnd"/>
      <w:r w:rsidRPr="007C17CC">
        <w:rPr>
          <w:rFonts w:ascii="Times New Roman" w:hAnsi="Times New Roman"/>
          <w:sz w:val="28"/>
          <w:szCs w:val="28"/>
        </w:rPr>
        <w:t xml:space="preserve"> района и муниципальное образование </w:t>
      </w:r>
      <w:proofErr w:type="spellStart"/>
      <w:r w:rsidRPr="007C17CC">
        <w:rPr>
          <w:rFonts w:ascii="Times New Roman" w:hAnsi="Times New Roman"/>
          <w:sz w:val="28"/>
          <w:szCs w:val="28"/>
        </w:rPr>
        <w:t>Пронское</w:t>
      </w:r>
      <w:proofErr w:type="spellEnd"/>
      <w:r w:rsidRPr="007C17CC">
        <w:rPr>
          <w:rFonts w:ascii="Times New Roman" w:hAnsi="Times New Roman"/>
          <w:sz w:val="28"/>
          <w:szCs w:val="28"/>
        </w:rPr>
        <w:t xml:space="preserve"> </w:t>
      </w:r>
      <w:proofErr w:type="spellStart"/>
      <w:r w:rsidRPr="007C17CC">
        <w:rPr>
          <w:rFonts w:ascii="Times New Roman" w:hAnsi="Times New Roman"/>
          <w:sz w:val="28"/>
          <w:szCs w:val="28"/>
        </w:rPr>
        <w:t>Кимовского</w:t>
      </w:r>
      <w:proofErr w:type="spellEnd"/>
      <w:r w:rsidRPr="007C17CC">
        <w:rPr>
          <w:rFonts w:ascii="Times New Roman" w:hAnsi="Times New Roman"/>
          <w:sz w:val="28"/>
          <w:szCs w:val="28"/>
        </w:rPr>
        <w:t xml:space="preserve"> района преобразованы путем их объединения в муниципальное образование </w:t>
      </w:r>
      <w:proofErr w:type="spellStart"/>
      <w:r w:rsidRPr="007C17CC">
        <w:rPr>
          <w:rFonts w:ascii="Times New Roman" w:hAnsi="Times New Roman"/>
          <w:sz w:val="28"/>
          <w:szCs w:val="28"/>
        </w:rPr>
        <w:t>Новольвовское</w:t>
      </w:r>
      <w:proofErr w:type="spellEnd"/>
      <w:r w:rsidRPr="007C17CC">
        <w:rPr>
          <w:rFonts w:ascii="Times New Roman" w:hAnsi="Times New Roman"/>
          <w:sz w:val="28"/>
          <w:szCs w:val="28"/>
        </w:rPr>
        <w:t xml:space="preserve"> </w:t>
      </w:r>
      <w:proofErr w:type="spellStart"/>
      <w:r w:rsidRPr="007C17CC">
        <w:rPr>
          <w:rFonts w:ascii="Times New Roman" w:hAnsi="Times New Roman"/>
          <w:sz w:val="28"/>
          <w:szCs w:val="28"/>
        </w:rPr>
        <w:t>Кимовского</w:t>
      </w:r>
      <w:proofErr w:type="spellEnd"/>
      <w:r w:rsidRPr="007C17CC">
        <w:rPr>
          <w:rFonts w:ascii="Times New Roman" w:hAnsi="Times New Roman"/>
          <w:sz w:val="28"/>
          <w:szCs w:val="28"/>
        </w:rPr>
        <w:t xml:space="preserve"> района. </w:t>
      </w:r>
    </w:p>
    <w:p w:rsidR="00DC216C" w:rsidRPr="007C17CC" w:rsidRDefault="00DC216C" w:rsidP="00911873">
      <w:pPr>
        <w:spacing w:after="0" w:line="240" w:lineRule="auto"/>
        <w:ind w:firstLine="709"/>
        <w:jc w:val="both"/>
        <w:rPr>
          <w:rFonts w:ascii="Times New Roman" w:hAnsi="Times New Roman"/>
          <w:sz w:val="28"/>
          <w:szCs w:val="28"/>
        </w:rPr>
      </w:pPr>
      <w:r w:rsidRPr="007C17CC">
        <w:rPr>
          <w:rFonts w:ascii="Times New Roman" w:hAnsi="Times New Roman"/>
          <w:sz w:val="28"/>
          <w:szCs w:val="28"/>
        </w:rPr>
        <w:t>д) Площадь муниципального образования по состоянию на 31 декабря отчетного года- 1111,1 кв. км.</w:t>
      </w:r>
    </w:p>
    <w:p w:rsidR="00DC216C" w:rsidRPr="007C17CC" w:rsidRDefault="00DC216C" w:rsidP="00911873">
      <w:pPr>
        <w:spacing w:after="0" w:line="240" w:lineRule="auto"/>
        <w:ind w:firstLine="709"/>
        <w:jc w:val="both"/>
        <w:rPr>
          <w:rFonts w:ascii="Times New Roman" w:hAnsi="Times New Roman"/>
          <w:sz w:val="28"/>
          <w:szCs w:val="28"/>
        </w:rPr>
      </w:pPr>
      <w:r w:rsidRPr="007C17CC">
        <w:rPr>
          <w:rFonts w:ascii="Times New Roman" w:hAnsi="Times New Roman"/>
          <w:sz w:val="28"/>
          <w:szCs w:val="28"/>
        </w:rPr>
        <w:t xml:space="preserve">е) Население муниципального образования по состоянию на 31 декабря отчетного года </w:t>
      </w:r>
      <w:r w:rsidR="00310B20" w:rsidRPr="007C17CC">
        <w:rPr>
          <w:rFonts w:ascii="Times New Roman" w:hAnsi="Times New Roman"/>
          <w:sz w:val="28"/>
          <w:szCs w:val="28"/>
        </w:rPr>
        <w:t>38,27</w:t>
      </w:r>
      <w:r w:rsidRPr="007C17CC">
        <w:rPr>
          <w:rFonts w:ascii="Times New Roman" w:hAnsi="Times New Roman"/>
          <w:sz w:val="28"/>
          <w:szCs w:val="28"/>
        </w:rPr>
        <w:t xml:space="preserve"> тыс. чел., в том числе городское 2</w:t>
      </w:r>
      <w:r w:rsidR="00600335" w:rsidRPr="007C17CC">
        <w:rPr>
          <w:rFonts w:ascii="Times New Roman" w:hAnsi="Times New Roman"/>
          <w:sz w:val="28"/>
          <w:szCs w:val="28"/>
        </w:rPr>
        <w:t>6,</w:t>
      </w:r>
      <w:r w:rsidR="00310B20" w:rsidRPr="007C17CC">
        <w:rPr>
          <w:rFonts w:ascii="Times New Roman" w:hAnsi="Times New Roman"/>
          <w:sz w:val="28"/>
          <w:szCs w:val="28"/>
        </w:rPr>
        <w:t>09</w:t>
      </w:r>
      <w:r w:rsidRPr="007C17CC">
        <w:rPr>
          <w:rFonts w:ascii="Times New Roman" w:hAnsi="Times New Roman"/>
          <w:sz w:val="28"/>
          <w:szCs w:val="28"/>
        </w:rPr>
        <w:t xml:space="preserve"> тыс</w:t>
      </w:r>
      <w:proofErr w:type="gramStart"/>
      <w:r w:rsidRPr="007C17CC">
        <w:rPr>
          <w:rFonts w:ascii="Times New Roman" w:hAnsi="Times New Roman"/>
          <w:sz w:val="28"/>
          <w:szCs w:val="28"/>
        </w:rPr>
        <w:t>.ч</w:t>
      </w:r>
      <w:proofErr w:type="gramEnd"/>
      <w:r w:rsidRPr="007C17CC">
        <w:rPr>
          <w:rFonts w:ascii="Times New Roman" w:hAnsi="Times New Roman"/>
          <w:sz w:val="28"/>
          <w:szCs w:val="28"/>
        </w:rPr>
        <w:t>ел. и сельское – 1</w:t>
      </w:r>
      <w:r w:rsidR="00600335" w:rsidRPr="007C17CC">
        <w:rPr>
          <w:rFonts w:ascii="Times New Roman" w:hAnsi="Times New Roman"/>
          <w:sz w:val="28"/>
          <w:szCs w:val="28"/>
        </w:rPr>
        <w:t>2,</w:t>
      </w:r>
      <w:r w:rsidR="00310B20" w:rsidRPr="007C17CC">
        <w:rPr>
          <w:rFonts w:ascii="Times New Roman" w:hAnsi="Times New Roman"/>
          <w:sz w:val="28"/>
          <w:szCs w:val="28"/>
        </w:rPr>
        <w:t>17</w:t>
      </w:r>
      <w:r w:rsidRPr="007C17CC">
        <w:rPr>
          <w:rFonts w:ascii="Times New Roman" w:hAnsi="Times New Roman"/>
          <w:sz w:val="28"/>
          <w:szCs w:val="28"/>
        </w:rPr>
        <w:t xml:space="preserve"> тыс.чел.</w:t>
      </w:r>
    </w:p>
    <w:p w:rsidR="00C67CA0" w:rsidRPr="007C17CC" w:rsidRDefault="00C67CA0" w:rsidP="00911873">
      <w:pPr>
        <w:spacing w:after="0" w:line="240" w:lineRule="auto"/>
        <w:ind w:firstLine="709"/>
        <w:jc w:val="both"/>
        <w:rPr>
          <w:rFonts w:ascii="Times New Roman" w:hAnsi="Times New Roman"/>
          <w:sz w:val="28"/>
          <w:szCs w:val="28"/>
        </w:rPr>
      </w:pPr>
      <w:proofErr w:type="gramStart"/>
      <w:r w:rsidRPr="007C17CC">
        <w:rPr>
          <w:rFonts w:ascii="Times New Roman" w:hAnsi="Times New Roman"/>
          <w:color w:val="000000"/>
          <w:sz w:val="28"/>
          <w:szCs w:val="28"/>
        </w:rPr>
        <w:t xml:space="preserve">ж) </w:t>
      </w:r>
      <w:r w:rsidRPr="007C17CC">
        <w:rPr>
          <w:rFonts w:ascii="Times New Roman" w:hAnsi="Times New Roman"/>
          <w:sz w:val="28"/>
          <w:szCs w:val="28"/>
        </w:rPr>
        <w:t>Собрание представителей муниципального образования формируется из глав поселений, входящих в состав муниципального образования, и из депутатов Собраний депутатов указанных поселений, избираемых Собраниями депутатов поселений из своего состава в соответствии с равной</w:t>
      </w:r>
      <w:r w:rsidR="00AD60D3" w:rsidRPr="007C17CC">
        <w:rPr>
          <w:rFonts w:ascii="Times New Roman" w:hAnsi="Times New Roman"/>
          <w:sz w:val="28"/>
          <w:szCs w:val="28"/>
        </w:rPr>
        <w:t>,</w:t>
      </w:r>
      <w:r w:rsidRPr="007C17CC">
        <w:rPr>
          <w:rFonts w:ascii="Times New Roman" w:hAnsi="Times New Roman"/>
          <w:sz w:val="28"/>
          <w:szCs w:val="28"/>
        </w:rPr>
        <w:t xml:space="preserve"> независимо от численности населения поселения нормой представительства, которая составляет </w:t>
      </w:r>
      <w:r w:rsidR="00F10992" w:rsidRPr="007C17CC">
        <w:rPr>
          <w:rFonts w:ascii="Times New Roman" w:hAnsi="Times New Roman"/>
          <w:sz w:val="28"/>
          <w:szCs w:val="28"/>
        </w:rPr>
        <w:t>четыре</w:t>
      </w:r>
      <w:r w:rsidRPr="007C17CC">
        <w:rPr>
          <w:rFonts w:ascii="Times New Roman" w:hAnsi="Times New Roman"/>
          <w:sz w:val="28"/>
          <w:szCs w:val="28"/>
        </w:rPr>
        <w:t xml:space="preserve"> депутата от каждого поселения.</w:t>
      </w:r>
      <w:proofErr w:type="gramEnd"/>
    </w:p>
    <w:p w:rsidR="00C67CA0" w:rsidRPr="007C17CC" w:rsidRDefault="00C67CA0" w:rsidP="00911873">
      <w:pPr>
        <w:spacing w:after="0" w:line="240" w:lineRule="auto"/>
        <w:ind w:firstLine="709"/>
        <w:jc w:val="both"/>
        <w:rPr>
          <w:rFonts w:ascii="Times New Roman" w:hAnsi="Times New Roman"/>
          <w:i/>
          <w:color w:val="000000"/>
          <w:sz w:val="28"/>
          <w:szCs w:val="28"/>
        </w:rPr>
      </w:pPr>
      <w:r w:rsidRPr="007C17CC">
        <w:rPr>
          <w:rFonts w:ascii="Times New Roman" w:hAnsi="Times New Roman"/>
          <w:color w:val="000000"/>
          <w:sz w:val="28"/>
          <w:szCs w:val="28"/>
        </w:rPr>
        <w:t xml:space="preserve">Дата проведения выборов действующего состава представительного органа и срок его полномочий: </w:t>
      </w:r>
      <w:r w:rsidR="00F10992" w:rsidRPr="007C17CC">
        <w:rPr>
          <w:rFonts w:ascii="Times New Roman" w:hAnsi="Times New Roman"/>
          <w:color w:val="000000"/>
          <w:sz w:val="28"/>
          <w:szCs w:val="28"/>
        </w:rPr>
        <w:t>сентябрь</w:t>
      </w:r>
      <w:r w:rsidRPr="007C17CC">
        <w:rPr>
          <w:rFonts w:ascii="Times New Roman" w:hAnsi="Times New Roman"/>
          <w:color w:val="000000"/>
          <w:sz w:val="28"/>
          <w:szCs w:val="28"/>
        </w:rPr>
        <w:t xml:space="preserve"> 20</w:t>
      </w:r>
      <w:r w:rsidR="00F10992" w:rsidRPr="007C17CC">
        <w:rPr>
          <w:rFonts w:ascii="Times New Roman" w:hAnsi="Times New Roman"/>
          <w:color w:val="000000"/>
          <w:sz w:val="28"/>
          <w:szCs w:val="28"/>
        </w:rPr>
        <w:t>13</w:t>
      </w:r>
      <w:r w:rsidRPr="007C17CC">
        <w:rPr>
          <w:rFonts w:ascii="Times New Roman" w:hAnsi="Times New Roman"/>
          <w:color w:val="000000"/>
          <w:sz w:val="28"/>
          <w:szCs w:val="28"/>
        </w:rPr>
        <w:t xml:space="preserve"> года, срок полномочий – 5 лет</w:t>
      </w:r>
      <w:r w:rsidR="00F345DF" w:rsidRPr="007C17CC">
        <w:rPr>
          <w:rFonts w:ascii="Times New Roman" w:hAnsi="Times New Roman"/>
          <w:color w:val="000000"/>
          <w:sz w:val="28"/>
          <w:szCs w:val="28"/>
        </w:rPr>
        <w:t>.</w:t>
      </w:r>
    </w:p>
    <w:p w:rsidR="00C67CA0" w:rsidRPr="007C17CC" w:rsidRDefault="00C67CA0" w:rsidP="00911873">
      <w:pPr>
        <w:spacing w:after="0" w:line="240" w:lineRule="auto"/>
        <w:ind w:firstLine="709"/>
        <w:jc w:val="both"/>
        <w:rPr>
          <w:rFonts w:ascii="Times New Roman" w:hAnsi="Times New Roman"/>
          <w:color w:val="000000"/>
          <w:sz w:val="28"/>
          <w:szCs w:val="28"/>
        </w:rPr>
      </w:pPr>
      <w:r w:rsidRPr="007C17CC">
        <w:rPr>
          <w:rFonts w:ascii="Times New Roman" w:hAnsi="Times New Roman"/>
          <w:color w:val="000000"/>
          <w:sz w:val="28"/>
          <w:szCs w:val="28"/>
        </w:rPr>
        <w:t xml:space="preserve">Число депутатов </w:t>
      </w:r>
      <w:r w:rsidR="00F345DF" w:rsidRPr="007C17CC">
        <w:rPr>
          <w:rFonts w:ascii="Times New Roman" w:hAnsi="Times New Roman"/>
          <w:color w:val="000000"/>
          <w:sz w:val="28"/>
          <w:szCs w:val="28"/>
        </w:rPr>
        <w:t xml:space="preserve">Собрания представителей муниципального образования Кимовский район </w:t>
      </w:r>
      <w:r w:rsidRPr="007C17CC">
        <w:rPr>
          <w:rFonts w:ascii="Times New Roman" w:hAnsi="Times New Roman"/>
          <w:color w:val="000000"/>
          <w:sz w:val="28"/>
          <w:szCs w:val="28"/>
        </w:rPr>
        <w:t>согласно уставу муниципального образования при формировании представительного органа</w:t>
      </w:r>
      <w:r w:rsidR="00823579" w:rsidRPr="007C17CC">
        <w:rPr>
          <w:rFonts w:ascii="Times New Roman" w:hAnsi="Times New Roman"/>
          <w:color w:val="000000"/>
          <w:sz w:val="28"/>
          <w:szCs w:val="28"/>
        </w:rPr>
        <w:t xml:space="preserve"> составляет</w:t>
      </w:r>
      <w:r w:rsidRPr="007C17CC">
        <w:rPr>
          <w:rFonts w:ascii="Times New Roman" w:hAnsi="Times New Roman"/>
          <w:color w:val="000000"/>
          <w:sz w:val="28"/>
          <w:szCs w:val="28"/>
        </w:rPr>
        <w:t xml:space="preserve"> 1</w:t>
      </w:r>
      <w:r w:rsidR="00F10992" w:rsidRPr="007C17CC">
        <w:rPr>
          <w:rFonts w:ascii="Times New Roman" w:hAnsi="Times New Roman"/>
          <w:color w:val="000000"/>
          <w:sz w:val="28"/>
          <w:szCs w:val="28"/>
        </w:rPr>
        <w:t>5</w:t>
      </w:r>
      <w:r w:rsidR="00823579" w:rsidRPr="007C17CC">
        <w:rPr>
          <w:rFonts w:ascii="Times New Roman" w:hAnsi="Times New Roman"/>
          <w:color w:val="000000"/>
          <w:sz w:val="28"/>
          <w:szCs w:val="28"/>
        </w:rPr>
        <w:t xml:space="preserve"> человек</w:t>
      </w:r>
      <w:r w:rsidRPr="007C17CC">
        <w:rPr>
          <w:rFonts w:ascii="Times New Roman" w:hAnsi="Times New Roman"/>
          <w:color w:val="000000"/>
          <w:sz w:val="28"/>
          <w:szCs w:val="28"/>
        </w:rPr>
        <w:t xml:space="preserve">, фактически по состоянию на 31 декабря </w:t>
      </w:r>
      <w:r w:rsidRPr="00782500">
        <w:rPr>
          <w:rFonts w:ascii="Times New Roman" w:hAnsi="Times New Roman"/>
          <w:color w:val="000000"/>
          <w:sz w:val="28"/>
          <w:szCs w:val="28"/>
        </w:rPr>
        <w:t>201</w:t>
      </w:r>
      <w:r w:rsidR="00782500" w:rsidRPr="00782500">
        <w:rPr>
          <w:rFonts w:ascii="Times New Roman" w:hAnsi="Times New Roman"/>
          <w:color w:val="000000"/>
          <w:sz w:val="28"/>
          <w:szCs w:val="28"/>
        </w:rPr>
        <w:t>7</w:t>
      </w:r>
      <w:r w:rsidRPr="00782500">
        <w:rPr>
          <w:rFonts w:ascii="Times New Roman" w:hAnsi="Times New Roman"/>
          <w:color w:val="000000"/>
          <w:sz w:val="28"/>
          <w:szCs w:val="28"/>
        </w:rPr>
        <w:t xml:space="preserve"> года – 1</w:t>
      </w:r>
      <w:r w:rsidR="00F10992" w:rsidRPr="00782500">
        <w:rPr>
          <w:rFonts w:ascii="Times New Roman" w:hAnsi="Times New Roman"/>
          <w:color w:val="000000"/>
          <w:sz w:val="28"/>
          <w:szCs w:val="28"/>
        </w:rPr>
        <w:t>5</w:t>
      </w:r>
      <w:r w:rsidR="00823579" w:rsidRPr="00782500">
        <w:rPr>
          <w:rFonts w:ascii="Times New Roman" w:hAnsi="Times New Roman"/>
          <w:color w:val="000000"/>
          <w:sz w:val="28"/>
          <w:szCs w:val="28"/>
        </w:rPr>
        <w:t xml:space="preserve"> человек.</w:t>
      </w:r>
    </w:p>
    <w:p w:rsidR="00F05D11" w:rsidRPr="007C17CC" w:rsidRDefault="00F05D11" w:rsidP="00911873">
      <w:pPr>
        <w:spacing w:after="0" w:line="240" w:lineRule="auto"/>
        <w:ind w:firstLine="709"/>
        <w:jc w:val="both"/>
        <w:rPr>
          <w:rFonts w:ascii="Times New Roman" w:hAnsi="Times New Roman"/>
          <w:sz w:val="28"/>
          <w:szCs w:val="28"/>
        </w:rPr>
      </w:pPr>
      <w:r w:rsidRPr="007C17CC">
        <w:rPr>
          <w:rFonts w:ascii="Times New Roman" w:hAnsi="Times New Roman"/>
          <w:sz w:val="28"/>
          <w:szCs w:val="28"/>
        </w:rPr>
        <w:lastRenderedPageBreak/>
        <w:t>з)</w:t>
      </w:r>
      <w:r w:rsidRPr="007C17CC">
        <w:rPr>
          <w:rFonts w:ascii="Times New Roman" w:hAnsi="Times New Roman"/>
          <w:sz w:val="24"/>
          <w:szCs w:val="24"/>
        </w:rPr>
        <w:t xml:space="preserve"> </w:t>
      </w:r>
      <w:r w:rsidRPr="007C17CC">
        <w:rPr>
          <w:rFonts w:ascii="Times New Roman" w:hAnsi="Times New Roman"/>
          <w:sz w:val="28"/>
          <w:szCs w:val="28"/>
        </w:rPr>
        <w:t xml:space="preserve">С 1 декабря </w:t>
      </w:r>
      <w:smartTag w:uri="urn:schemas-microsoft-com:office:smarttags" w:element="metricconverter">
        <w:smartTagPr>
          <w:attr w:name="ProductID" w:val="2012 г"/>
        </w:smartTagPr>
        <w:r w:rsidRPr="007C17CC">
          <w:rPr>
            <w:rFonts w:ascii="Times New Roman" w:hAnsi="Times New Roman"/>
            <w:sz w:val="28"/>
            <w:szCs w:val="28"/>
          </w:rPr>
          <w:t>2012 г</w:t>
        </w:r>
      </w:smartTag>
      <w:r w:rsidRPr="007C17CC">
        <w:rPr>
          <w:rFonts w:ascii="Times New Roman" w:hAnsi="Times New Roman"/>
          <w:sz w:val="28"/>
          <w:szCs w:val="28"/>
        </w:rPr>
        <w:t>. Фролов Эдуард Леонидович назначен на должность</w:t>
      </w:r>
      <w:r w:rsidR="00156C3B" w:rsidRPr="007C17CC">
        <w:rPr>
          <w:rFonts w:ascii="Times New Roman" w:hAnsi="Times New Roman"/>
          <w:sz w:val="28"/>
          <w:szCs w:val="28"/>
        </w:rPr>
        <w:t xml:space="preserve"> муниципальной службы</w:t>
      </w:r>
      <w:r w:rsidRPr="007C17CC">
        <w:rPr>
          <w:rFonts w:ascii="Times New Roman" w:hAnsi="Times New Roman"/>
          <w:sz w:val="28"/>
          <w:szCs w:val="28"/>
        </w:rPr>
        <w:t xml:space="preserve"> главы администрации муниципального образования Кимовский район по результатам конкурса согласно  решению Собрания представителей муниципального образования Кимовский район от 30.11.2012 года № 77-445 «О назначении главы администрации муниципального образования Кимовский район». Дата окончания действия контракта -  </w:t>
      </w:r>
      <w:r w:rsidR="004E0E21" w:rsidRPr="007C17CC">
        <w:rPr>
          <w:rFonts w:ascii="Times New Roman" w:hAnsi="Times New Roman"/>
          <w:sz w:val="28"/>
          <w:szCs w:val="28"/>
        </w:rPr>
        <w:t>01 декабря</w:t>
      </w:r>
      <w:r w:rsidRPr="007C17CC">
        <w:rPr>
          <w:rFonts w:ascii="Times New Roman" w:hAnsi="Times New Roman"/>
          <w:sz w:val="28"/>
          <w:szCs w:val="28"/>
        </w:rPr>
        <w:t xml:space="preserve"> 2014 года.</w:t>
      </w:r>
    </w:p>
    <w:p w:rsidR="00BA5F9E" w:rsidRPr="007C17CC" w:rsidRDefault="004E0E21" w:rsidP="00911873">
      <w:pPr>
        <w:spacing w:after="0" w:line="240" w:lineRule="auto"/>
        <w:ind w:firstLine="709"/>
        <w:jc w:val="both"/>
        <w:rPr>
          <w:rFonts w:ascii="Times New Roman" w:hAnsi="Times New Roman"/>
          <w:sz w:val="28"/>
          <w:szCs w:val="28"/>
        </w:rPr>
      </w:pPr>
      <w:r w:rsidRPr="007C17CC">
        <w:rPr>
          <w:rFonts w:ascii="Times New Roman" w:hAnsi="Times New Roman"/>
          <w:sz w:val="28"/>
          <w:szCs w:val="28"/>
        </w:rPr>
        <w:t>С 3 декабря 2014 года назначен</w:t>
      </w:r>
      <w:r w:rsidR="00BA5F9E" w:rsidRPr="007C17CC">
        <w:rPr>
          <w:rFonts w:ascii="Times New Roman" w:hAnsi="Times New Roman"/>
          <w:sz w:val="28"/>
          <w:szCs w:val="28"/>
        </w:rPr>
        <w:t xml:space="preserve"> первым заместителем главы администрации </w:t>
      </w:r>
      <w:r w:rsidRPr="007C17CC">
        <w:rPr>
          <w:rFonts w:ascii="Times New Roman" w:hAnsi="Times New Roman"/>
          <w:sz w:val="28"/>
          <w:szCs w:val="28"/>
        </w:rPr>
        <w:t xml:space="preserve">распоряжением администрации </w:t>
      </w:r>
      <w:r w:rsidR="00BA5F9E" w:rsidRPr="007C17CC">
        <w:rPr>
          <w:rFonts w:ascii="Times New Roman" w:hAnsi="Times New Roman"/>
          <w:sz w:val="28"/>
          <w:szCs w:val="28"/>
        </w:rPr>
        <w:t xml:space="preserve">муниципального образования Кимовский район </w:t>
      </w:r>
      <w:r w:rsidRPr="007C17CC">
        <w:rPr>
          <w:rFonts w:ascii="Times New Roman" w:hAnsi="Times New Roman"/>
          <w:sz w:val="28"/>
          <w:szCs w:val="28"/>
        </w:rPr>
        <w:t>от 02.12.2014 № 135-рк</w:t>
      </w:r>
      <w:r w:rsidR="00BA5F9E" w:rsidRPr="007C17CC">
        <w:rPr>
          <w:rFonts w:ascii="Times New Roman" w:hAnsi="Times New Roman"/>
          <w:sz w:val="28"/>
          <w:szCs w:val="28"/>
        </w:rPr>
        <w:t xml:space="preserve"> «О назначении</w:t>
      </w:r>
      <w:r w:rsidR="00156C3B" w:rsidRPr="007C17CC">
        <w:rPr>
          <w:rFonts w:ascii="Times New Roman" w:hAnsi="Times New Roman"/>
          <w:sz w:val="28"/>
          <w:szCs w:val="28"/>
        </w:rPr>
        <w:t xml:space="preserve"> Фролова Э.Л. </w:t>
      </w:r>
      <w:r w:rsidRPr="007C17CC">
        <w:rPr>
          <w:rFonts w:ascii="Times New Roman" w:hAnsi="Times New Roman"/>
          <w:sz w:val="28"/>
          <w:szCs w:val="28"/>
        </w:rPr>
        <w:t>на должность муниципальной службы</w:t>
      </w:r>
      <w:r w:rsidR="00156C3B" w:rsidRPr="007C17CC">
        <w:rPr>
          <w:rFonts w:ascii="Times New Roman" w:hAnsi="Times New Roman"/>
          <w:sz w:val="28"/>
          <w:szCs w:val="28"/>
        </w:rPr>
        <w:t>».</w:t>
      </w:r>
      <w:r w:rsidRPr="007C17CC">
        <w:rPr>
          <w:rFonts w:ascii="Times New Roman" w:hAnsi="Times New Roman"/>
          <w:sz w:val="28"/>
          <w:szCs w:val="28"/>
        </w:rPr>
        <w:t xml:space="preserve"> </w:t>
      </w:r>
    </w:p>
    <w:p w:rsidR="00CD3EE6" w:rsidRPr="007C17CC" w:rsidRDefault="00CD3EE6" w:rsidP="00911873">
      <w:pPr>
        <w:spacing w:after="0" w:line="240" w:lineRule="auto"/>
        <w:ind w:firstLine="709"/>
        <w:jc w:val="both"/>
        <w:rPr>
          <w:rFonts w:ascii="Times New Roman" w:hAnsi="Times New Roman"/>
          <w:sz w:val="28"/>
          <w:szCs w:val="28"/>
        </w:rPr>
      </w:pPr>
      <w:r w:rsidRPr="007C17CC">
        <w:rPr>
          <w:rFonts w:ascii="Times New Roman" w:hAnsi="Times New Roman"/>
          <w:sz w:val="28"/>
          <w:szCs w:val="28"/>
        </w:rPr>
        <w:t xml:space="preserve">С 26 мая 2015 г. Фролов Эдуард Леонидович назначен на должность муниципальной службы главы администрации муниципального образования Кимовский район по результатам конкурса согласно  решению Собрания представителей муниципального образования Кимовский район от 25.05.2015 года № 37-165 «О назначении главы администрации муниципального образования Кимовский район». </w:t>
      </w:r>
      <w:r w:rsidR="00F26BAA" w:rsidRPr="007C17CC">
        <w:rPr>
          <w:rFonts w:ascii="Times New Roman" w:hAnsi="Times New Roman"/>
          <w:sz w:val="28"/>
          <w:szCs w:val="28"/>
        </w:rPr>
        <w:t>К</w:t>
      </w:r>
      <w:r w:rsidRPr="007C17CC">
        <w:rPr>
          <w:rFonts w:ascii="Times New Roman" w:hAnsi="Times New Roman"/>
          <w:sz w:val="28"/>
          <w:szCs w:val="28"/>
        </w:rPr>
        <w:t>онтракт</w:t>
      </w:r>
      <w:r w:rsidR="00F26BAA" w:rsidRPr="007C17CC">
        <w:rPr>
          <w:rFonts w:ascii="Times New Roman" w:hAnsi="Times New Roman"/>
          <w:sz w:val="28"/>
          <w:szCs w:val="28"/>
        </w:rPr>
        <w:t xml:space="preserve"> заключен сроком на 5 лет.</w:t>
      </w:r>
    </w:p>
    <w:p w:rsidR="00F05D11" w:rsidRPr="007C17CC" w:rsidRDefault="00F05D11" w:rsidP="00911873">
      <w:pPr>
        <w:spacing w:after="0" w:line="240" w:lineRule="auto"/>
        <w:ind w:firstLine="709"/>
        <w:jc w:val="both"/>
        <w:rPr>
          <w:rFonts w:ascii="Times New Roman" w:hAnsi="Times New Roman"/>
          <w:sz w:val="28"/>
          <w:szCs w:val="28"/>
        </w:rPr>
      </w:pPr>
      <w:r w:rsidRPr="007C17CC">
        <w:rPr>
          <w:rFonts w:ascii="Times New Roman" w:hAnsi="Times New Roman"/>
          <w:sz w:val="28"/>
          <w:szCs w:val="28"/>
        </w:rPr>
        <w:t>и) На 31 декабря 201</w:t>
      </w:r>
      <w:r w:rsidR="007C17CC">
        <w:rPr>
          <w:rFonts w:ascii="Times New Roman" w:hAnsi="Times New Roman"/>
          <w:sz w:val="28"/>
          <w:szCs w:val="28"/>
        </w:rPr>
        <w:t>7</w:t>
      </w:r>
      <w:r w:rsidRPr="007C17CC">
        <w:rPr>
          <w:rFonts w:ascii="Times New Roman" w:hAnsi="Times New Roman"/>
          <w:sz w:val="28"/>
          <w:szCs w:val="28"/>
        </w:rPr>
        <w:t xml:space="preserve">г. общая численность работников органов местного самоуправления муниципального образования Кимовский район составляет </w:t>
      </w:r>
      <w:r w:rsidR="00333D11" w:rsidRPr="00DF6EEE">
        <w:rPr>
          <w:rFonts w:ascii="Times New Roman" w:hAnsi="Times New Roman"/>
          <w:sz w:val="28"/>
          <w:szCs w:val="28"/>
        </w:rPr>
        <w:t>8</w:t>
      </w:r>
      <w:r w:rsidR="00B0036A" w:rsidRPr="00DF6EEE">
        <w:rPr>
          <w:rFonts w:ascii="Times New Roman" w:hAnsi="Times New Roman"/>
          <w:sz w:val="28"/>
          <w:szCs w:val="28"/>
        </w:rPr>
        <w:t>6</w:t>
      </w:r>
      <w:r w:rsidRPr="00DF6EEE">
        <w:rPr>
          <w:rFonts w:ascii="Times New Roman" w:hAnsi="Times New Roman"/>
          <w:sz w:val="28"/>
          <w:szCs w:val="28"/>
        </w:rPr>
        <w:t xml:space="preserve"> человек,  из них </w:t>
      </w:r>
      <w:r w:rsidR="00333D11" w:rsidRPr="00DF6EEE">
        <w:rPr>
          <w:rFonts w:ascii="Times New Roman" w:hAnsi="Times New Roman"/>
          <w:sz w:val="28"/>
          <w:szCs w:val="28"/>
        </w:rPr>
        <w:t>5</w:t>
      </w:r>
      <w:r w:rsidR="00377A8F" w:rsidRPr="00DF6EEE">
        <w:rPr>
          <w:rFonts w:ascii="Times New Roman" w:hAnsi="Times New Roman"/>
          <w:sz w:val="28"/>
          <w:szCs w:val="28"/>
        </w:rPr>
        <w:t>7</w:t>
      </w:r>
      <w:r w:rsidRPr="00DF6EEE">
        <w:rPr>
          <w:rFonts w:ascii="Times New Roman" w:hAnsi="Times New Roman"/>
          <w:sz w:val="28"/>
          <w:szCs w:val="28"/>
        </w:rPr>
        <w:t xml:space="preserve"> штатных</w:t>
      </w:r>
      <w:r w:rsidRPr="007C17CC">
        <w:rPr>
          <w:rFonts w:ascii="Times New Roman" w:hAnsi="Times New Roman"/>
          <w:sz w:val="28"/>
          <w:szCs w:val="28"/>
        </w:rPr>
        <w:t xml:space="preserve"> единиц - должности муниципальной службы.</w:t>
      </w:r>
      <w:r w:rsidR="00876DDB" w:rsidRPr="007C17CC">
        <w:rPr>
          <w:rFonts w:ascii="Times New Roman" w:hAnsi="Times New Roman"/>
          <w:sz w:val="28"/>
          <w:szCs w:val="28"/>
        </w:rPr>
        <w:t xml:space="preserve"> </w:t>
      </w:r>
      <w:r w:rsidRPr="007C17CC">
        <w:rPr>
          <w:rFonts w:ascii="Times New Roman" w:hAnsi="Times New Roman"/>
          <w:sz w:val="28"/>
          <w:szCs w:val="28"/>
        </w:rPr>
        <w:t>Из них</w:t>
      </w:r>
      <w:r w:rsidR="00876DDB" w:rsidRPr="007C17CC">
        <w:rPr>
          <w:rFonts w:ascii="Times New Roman" w:hAnsi="Times New Roman"/>
          <w:sz w:val="28"/>
          <w:szCs w:val="28"/>
        </w:rPr>
        <w:t xml:space="preserve"> </w:t>
      </w:r>
      <w:r w:rsidR="00333D11" w:rsidRPr="007C17CC">
        <w:rPr>
          <w:rFonts w:ascii="Times New Roman" w:hAnsi="Times New Roman"/>
          <w:sz w:val="28"/>
          <w:szCs w:val="28"/>
        </w:rPr>
        <w:t>5</w:t>
      </w:r>
      <w:r w:rsidR="00377A8F" w:rsidRPr="007C17CC">
        <w:rPr>
          <w:rFonts w:ascii="Times New Roman" w:hAnsi="Times New Roman"/>
          <w:sz w:val="28"/>
          <w:szCs w:val="28"/>
        </w:rPr>
        <w:t>7</w:t>
      </w:r>
      <w:r w:rsidRPr="007C17CC">
        <w:rPr>
          <w:rFonts w:ascii="Times New Roman" w:hAnsi="Times New Roman"/>
          <w:sz w:val="28"/>
          <w:szCs w:val="28"/>
        </w:rPr>
        <w:t xml:space="preserve"> муниципальных служащих</w:t>
      </w:r>
      <w:r w:rsidR="00876DDB" w:rsidRPr="007C17CC">
        <w:rPr>
          <w:rFonts w:ascii="Times New Roman" w:hAnsi="Times New Roman"/>
          <w:sz w:val="28"/>
          <w:szCs w:val="28"/>
        </w:rPr>
        <w:t>,</w:t>
      </w:r>
      <w:r w:rsidRPr="007C17CC">
        <w:rPr>
          <w:rFonts w:ascii="Times New Roman" w:hAnsi="Times New Roman"/>
          <w:sz w:val="28"/>
          <w:szCs w:val="28"/>
        </w:rPr>
        <w:t xml:space="preserve"> исполняющих собственные полномочия муниципального образования</w:t>
      </w:r>
      <w:r w:rsidR="00A46908" w:rsidRPr="007C17CC">
        <w:rPr>
          <w:rFonts w:ascii="Times New Roman" w:hAnsi="Times New Roman"/>
          <w:sz w:val="28"/>
          <w:szCs w:val="28"/>
        </w:rPr>
        <w:t xml:space="preserve"> Кимовский район, полномочия муниципального образования город </w:t>
      </w:r>
      <w:proofErr w:type="spellStart"/>
      <w:r w:rsidR="00A46908" w:rsidRPr="007C17CC">
        <w:rPr>
          <w:rFonts w:ascii="Times New Roman" w:hAnsi="Times New Roman"/>
          <w:sz w:val="28"/>
          <w:szCs w:val="28"/>
        </w:rPr>
        <w:t>Кимовск</w:t>
      </w:r>
      <w:proofErr w:type="spellEnd"/>
      <w:r w:rsidR="00A46908" w:rsidRPr="007C17CC">
        <w:rPr>
          <w:rFonts w:ascii="Times New Roman" w:hAnsi="Times New Roman"/>
          <w:sz w:val="28"/>
          <w:szCs w:val="28"/>
        </w:rPr>
        <w:t xml:space="preserve"> </w:t>
      </w:r>
      <w:proofErr w:type="spellStart"/>
      <w:r w:rsidR="00A46908" w:rsidRPr="007C17CC">
        <w:rPr>
          <w:rFonts w:ascii="Times New Roman" w:hAnsi="Times New Roman"/>
          <w:sz w:val="28"/>
          <w:szCs w:val="28"/>
        </w:rPr>
        <w:t>Кимовского</w:t>
      </w:r>
      <w:proofErr w:type="spellEnd"/>
      <w:r w:rsidR="00A46908" w:rsidRPr="007C17CC">
        <w:rPr>
          <w:rFonts w:ascii="Times New Roman" w:hAnsi="Times New Roman"/>
          <w:sz w:val="28"/>
          <w:szCs w:val="28"/>
        </w:rPr>
        <w:t xml:space="preserve"> района и полномочия, переданные муниципальными образованиями, расположенными на территории муниципального образования Кимовский район</w:t>
      </w:r>
      <w:r w:rsidR="00876DDB" w:rsidRPr="007C17CC">
        <w:rPr>
          <w:rFonts w:ascii="Times New Roman" w:hAnsi="Times New Roman"/>
          <w:sz w:val="28"/>
          <w:szCs w:val="28"/>
        </w:rPr>
        <w:t xml:space="preserve">, в том числе </w:t>
      </w:r>
      <w:r w:rsidR="00333D11" w:rsidRPr="007C17CC">
        <w:rPr>
          <w:rFonts w:ascii="Times New Roman" w:hAnsi="Times New Roman"/>
          <w:sz w:val="28"/>
          <w:szCs w:val="28"/>
        </w:rPr>
        <w:t>5</w:t>
      </w:r>
      <w:r w:rsidRPr="007C17CC">
        <w:rPr>
          <w:rFonts w:ascii="Times New Roman" w:hAnsi="Times New Roman"/>
          <w:sz w:val="28"/>
          <w:szCs w:val="28"/>
        </w:rPr>
        <w:t xml:space="preserve"> муниципальных служащих</w:t>
      </w:r>
      <w:r w:rsidR="00876DDB" w:rsidRPr="007C17CC">
        <w:rPr>
          <w:rFonts w:ascii="Times New Roman" w:hAnsi="Times New Roman"/>
          <w:sz w:val="28"/>
          <w:szCs w:val="28"/>
        </w:rPr>
        <w:t>,</w:t>
      </w:r>
      <w:r w:rsidRPr="007C17CC">
        <w:rPr>
          <w:rFonts w:ascii="Times New Roman" w:hAnsi="Times New Roman"/>
          <w:sz w:val="28"/>
          <w:szCs w:val="28"/>
        </w:rPr>
        <w:t xml:space="preserve"> исполняющих государственные полномочия</w:t>
      </w:r>
      <w:r w:rsidR="00377A8F" w:rsidRPr="007C17CC">
        <w:rPr>
          <w:rFonts w:ascii="Times New Roman" w:hAnsi="Times New Roman"/>
          <w:sz w:val="28"/>
          <w:szCs w:val="28"/>
        </w:rPr>
        <w:t>.</w:t>
      </w:r>
    </w:p>
    <w:p w:rsidR="00C67CA0" w:rsidRPr="007C17CC" w:rsidRDefault="00C67CA0" w:rsidP="00911873">
      <w:pPr>
        <w:spacing w:after="0" w:line="240" w:lineRule="auto"/>
        <w:ind w:firstLine="709"/>
        <w:jc w:val="both"/>
        <w:rPr>
          <w:rFonts w:ascii="Times New Roman" w:hAnsi="Times New Roman"/>
          <w:color w:val="000000"/>
          <w:sz w:val="28"/>
          <w:szCs w:val="28"/>
        </w:rPr>
      </w:pPr>
      <w:r w:rsidRPr="007C17CC">
        <w:rPr>
          <w:rFonts w:ascii="Times New Roman" w:hAnsi="Times New Roman"/>
          <w:color w:val="000000"/>
          <w:sz w:val="28"/>
          <w:szCs w:val="28"/>
        </w:rPr>
        <w:t xml:space="preserve">к) </w:t>
      </w:r>
      <w:r w:rsidR="00E250C3" w:rsidRPr="007C17CC">
        <w:rPr>
          <w:rFonts w:ascii="Times New Roman" w:hAnsi="Times New Roman"/>
          <w:color w:val="000000"/>
          <w:sz w:val="28"/>
          <w:szCs w:val="28"/>
        </w:rPr>
        <w:t>О</w:t>
      </w:r>
      <w:r w:rsidRPr="007C17CC">
        <w:rPr>
          <w:rFonts w:ascii="Times New Roman" w:hAnsi="Times New Roman"/>
          <w:color w:val="000000"/>
          <w:sz w:val="28"/>
          <w:szCs w:val="28"/>
        </w:rPr>
        <w:t>фициальное печатное издание для опубликования правовых актов органов местного самоуправления:</w:t>
      </w:r>
      <w:r w:rsidRPr="007C17CC">
        <w:rPr>
          <w:rFonts w:ascii="Times New Roman" w:hAnsi="Times New Roman"/>
          <w:i/>
          <w:color w:val="000000"/>
          <w:sz w:val="28"/>
          <w:szCs w:val="28"/>
        </w:rPr>
        <w:t xml:space="preserve"> </w:t>
      </w:r>
      <w:r w:rsidRPr="007C17CC">
        <w:rPr>
          <w:rFonts w:ascii="Times New Roman" w:hAnsi="Times New Roman"/>
          <w:color w:val="000000"/>
          <w:sz w:val="28"/>
          <w:szCs w:val="28"/>
        </w:rPr>
        <w:t xml:space="preserve"> общественно-политическая газета «Районные будни. Кимовский район».</w:t>
      </w:r>
    </w:p>
    <w:p w:rsidR="00475D8C" w:rsidRPr="007C17CC" w:rsidRDefault="00475D8C" w:rsidP="00911873">
      <w:pPr>
        <w:spacing w:after="0" w:line="240" w:lineRule="auto"/>
        <w:ind w:firstLine="709"/>
        <w:jc w:val="both"/>
        <w:rPr>
          <w:rFonts w:ascii="Times New Roman" w:hAnsi="Times New Roman"/>
          <w:color w:val="000000"/>
          <w:sz w:val="28"/>
          <w:szCs w:val="28"/>
        </w:rPr>
      </w:pPr>
      <w:r w:rsidRPr="007C17CC">
        <w:rPr>
          <w:rFonts w:ascii="Times New Roman" w:hAnsi="Times New Roman"/>
          <w:color w:val="000000"/>
          <w:sz w:val="28"/>
          <w:szCs w:val="28"/>
        </w:rPr>
        <w:t>л) Официальный сайт администрации муниципально</w:t>
      </w:r>
      <w:r w:rsidR="00310B20" w:rsidRPr="007C17CC">
        <w:rPr>
          <w:rFonts w:ascii="Times New Roman" w:hAnsi="Times New Roman"/>
          <w:color w:val="000000"/>
          <w:sz w:val="28"/>
          <w:szCs w:val="28"/>
        </w:rPr>
        <w:t xml:space="preserve">го образования Кимовский район: </w:t>
      </w:r>
      <w:r w:rsidR="00310B20" w:rsidRPr="007C17CC">
        <w:rPr>
          <w:rFonts w:ascii="Times New Roman" w:hAnsi="Times New Roman"/>
          <w:sz w:val="28"/>
          <w:szCs w:val="28"/>
        </w:rPr>
        <w:t>kimovsk.tularegion.ru</w:t>
      </w:r>
    </w:p>
    <w:p w:rsidR="00C67CA0" w:rsidRPr="00B314AD" w:rsidRDefault="00C67CA0" w:rsidP="00911873">
      <w:pPr>
        <w:spacing w:after="0" w:line="240" w:lineRule="auto"/>
        <w:ind w:firstLine="720"/>
        <w:jc w:val="both"/>
        <w:rPr>
          <w:rFonts w:ascii="Times New Roman" w:hAnsi="Times New Roman"/>
          <w:b/>
          <w:sz w:val="28"/>
          <w:szCs w:val="28"/>
          <w:highlight w:val="yellow"/>
          <w:u w:val="single"/>
          <w:lang w:eastAsia="ru-RU"/>
        </w:rPr>
      </w:pPr>
    </w:p>
    <w:p w:rsidR="00293A78" w:rsidRPr="00BB44DB" w:rsidRDefault="00293A78" w:rsidP="00911873">
      <w:pPr>
        <w:spacing w:after="0" w:line="240" w:lineRule="auto"/>
        <w:ind w:firstLine="720"/>
        <w:jc w:val="both"/>
        <w:rPr>
          <w:rFonts w:ascii="Times New Roman" w:hAnsi="Times New Roman"/>
          <w:b/>
          <w:i/>
          <w:sz w:val="28"/>
          <w:szCs w:val="28"/>
          <w:lang w:eastAsia="ru-RU"/>
        </w:rPr>
      </w:pPr>
      <w:r w:rsidRPr="00BB44DB">
        <w:rPr>
          <w:rFonts w:ascii="Times New Roman" w:hAnsi="Times New Roman"/>
          <w:b/>
          <w:i/>
          <w:sz w:val="28"/>
          <w:szCs w:val="28"/>
          <w:lang w:eastAsia="ru-RU"/>
        </w:rPr>
        <w:t>2. Состояние муниципального образования в 201</w:t>
      </w:r>
      <w:r w:rsidR="00BB44DB" w:rsidRPr="00BB44DB">
        <w:rPr>
          <w:rFonts w:ascii="Times New Roman" w:hAnsi="Times New Roman"/>
          <w:b/>
          <w:i/>
          <w:sz w:val="28"/>
          <w:szCs w:val="28"/>
          <w:lang w:eastAsia="ru-RU"/>
        </w:rPr>
        <w:t>7</w:t>
      </w:r>
      <w:r w:rsidRPr="00BB44DB">
        <w:rPr>
          <w:rFonts w:ascii="Times New Roman" w:hAnsi="Times New Roman"/>
          <w:b/>
          <w:i/>
          <w:sz w:val="28"/>
          <w:szCs w:val="28"/>
          <w:lang w:eastAsia="ru-RU"/>
        </w:rPr>
        <w:t xml:space="preserve"> году, динамика развития в сравнении с предыдущим годом и прогноз на 3-летний период.</w:t>
      </w:r>
    </w:p>
    <w:p w:rsidR="00900AFF" w:rsidRPr="00BB44DB" w:rsidRDefault="00400630" w:rsidP="00911873">
      <w:pPr>
        <w:spacing w:after="0" w:line="240" w:lineRule="auto"/>
        <w:ind w:firstLine="720"/>
        <w:jc w:val="both"/>
        <w:rPr>
          <w:rFonts w:ascii="Times New Roman" w:hAnsi="Times New Roman"/>
          <w:b/>
          <w:sz w:val="28"/>
          <w:szCs w:val="28"/>
          <w:u w:val="single"/>
          <w:lang w:eastAsia="ru-RU"/>
        </w:rPr>
      </w:pPr>
      <w:r w:rsidRPr="00BB44DB">
        <w:rPr>
          <w:rFonts w:ascii="Times New Roman" w:hAnsi="Times New Roman"/>
          <w:b/>
          <w:sz w:val="28"/>
          <w:szCs w:val="28"/>
          <w:u w:val="single"/>
          <w:lang w:eastAsia="ru-RU"/>
        </w:rPr>
        <w:t>Экономическое развитие</w:t>
      </w:r>
    </w:p>
    <w:p w:rsidR="001F3D5C" w:rsidRPr="001F1244" w:rsidRDefault="001F3D5C" w:rsidP="00911873">
      <w:pPr>
        <w:spacing w:after="0" w:line="240" w:lineRule="auto"/>
        <w:ind w:firstLine="720"/>
        <w:jc w:val="both"/>
        <w:rPr>
          <w:rFonts w:ascii="Times New Roman" w:hAnsi="Times New Roman"/>
          <w:sz w:val="28"/>
          <w:szCs w:val="28"/>
        </w:rPr>
      </w:pPr>
      <w:r w:rsidRPr="001F1244">
        <w:rPr>
          <w:rFonts w:ascii="Times New Roman" w:hAnsi="Times New Roman"/>
          <w:sz w:val="28"/>
          <w:szCs w:val="28"/>
        </w:rPr>
        <w:t>Экономическое развитие муниципального образования является процессом, приводящим к улучшению условий жизни населения. В качестве главной цели экономического развития рассматривается повышение качества жизни населения, при этом преобразования в экономической сфере выступают как средства достижения этой цели.</w:t>
      </w:r>
    </w:p>
    <w:p w:rsidR="001F3D5C" w:rsidRPr="001F1244" w:rsidRDefault="001F3D5C" w:rsidP="00911873">
      <w:pPr>
        <w:spacing w:after="0" w:line="240" w:lineRule="auto"/>
        <w:ind w:firstLine="720"/>
        <w:jc w:val="both"/>
        <w:rPr>
          <w:rFonts w:ascii="Times New Roman" w:hAnsi="Times New Roman"/>
          <w:sz w:val="28"/>
          <w:szCs w:val="28"/>
        </w:rPr>
      </w:pPr>
      <w:r w:rsidRPr="001F1244">
        <w:rPr>
          <w:rFonts w:ascii="Times New Roman" w:hAnsi="Times New Roman"/>
          <w:sz w:val="28"/>
          <w:szCs w:val="28"/>
        </w:rPr>
        <w:t xml:space="preserve">Основным приоритетом экономического развития является развитие реального сектора экономики на основе модернизации производства и внедрения инновационных технологий. </w:t>
      </w:r>
    </w:p>
    <w:p w:rsidR="000079E9" w:rsidRDefault="000079E9" w:rsidP="000079E9">
      <w:pPr>
        <w:autoSpaceDE w:val="0"/>
        <w:autoSpaceDN w:val="0"/>
        <w:adjustRightInd w:val="0"/>
        <w:spacing w:after="0" w:line="240" w:lineRule="auto"/>
        <w:jc w:val="both"/>
        <w:rPr>
          <w:rFonts w:ascii="Times New Roman" w:hAnsi="Times New Roman"/>
          <w:b/>
          <w:sz w:val="28"/>
          <w:szCs w:val="28"/>
          <w:highlight w:val="yellow"/>
          <w:u w:val="single"/>
        </w:rPr>
      </w:pPr>
    </w:p>
    <w:p w:rsidR="00C1361C" w:rsidRPr="00CA167B" w:rsidRDefault="00C1361C" w:rsidP="000079E9">
      <w:pPr>
        <w:autoSpaceDE w:val="0"/>
        <w:autoSpaceDN w:val="0"/>
        <w:adjustRightInd w:val="0"/>
        <w:spacing w:after="0" w:line="240" w:lineRule="auto"/>
        <w:ind w:firstLine="708"/>
        <w:rPr>
          <w:rFonts w:ascii="Times New Roman" w:hAnsi="Times New Roman"/>
          <w:b/>
          <w:sz w:val="28"/>
          <w:szCs w:val="28"/>
          <w:u w:val="single"/>
        </w:rPr>
      </w:pPr>
      <w:r w:rsidRPr="00CA167B">
        <w:rPr>
          <w:rFonts w:ascii="Times New Roman" w:hAnsi="Times New Roman"/>
          <w:b/>
          <w:sz w:val="28"/>
          <w:szCs w:val="28"/>
          <w:u w:val="single"/>
        </w:rPr>
        <w:lastRenderedPageBreak/>
        <w:t>Развитие малого и среднего предпринимательства</w:t>
      </w:r>
    </w:p>
    <w:p w:rsidR="00400630" w:rsidRPr="00CA167B" w:rsidRDefault="00400630" w:rsidP="00C55E9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A167B">
        <w:rPr>
          <w:rFonts w:ascii="Times New Roman" w:hAnsi="Times New Roman"/>
          <w:sz w:val="28"/>
          <w:szCs w:val="28"/>
          <w:lang w:eastAsia="ru-RU"/>
        </w:rPr>
        <w:t>Малый и средний бизнес рассматривается как один из главных факторов экономического роста – поскольку он быстро адаптируется к изменяющимся условиям рынка, социально ориентирован, создает новые рабочие места.</w:t>
      </w:r>
    </w:p>
    <w:p w:rsidR="00C55E9E" w:rsidRPr="007F2E3E" w:rsidRDefault="000D0382" w:rsidP="007F2E3E">
      <w:pPr>
        <w:spacing w:after="0" w:line="240" w:lineRule="auto"/>
        <w:ind w:firstLine="709"/>
        <w:jc w:val="both"/>
        <w:rPr>
          <w:sz w:val="28"/>
          <w:szCs w:val="28"/>
        </w:rPr>
      </w:pPr>
      <w:r w:rsidRPr="00F622A5">
        <w:rPr>
          <w:rFonts w:ascii="Times New Roman" w:hAnsi="Times New Roman"/>
          <w:sz w:val="28"/>
          <w:szCs w:val="28"/>
        </w:rPr>
        <w:t>Количество субъектов малого и среднего предпринимательства составляет 12</w:t>
      </w:r>
      <w:r w:rsidR="00F622A5" w:rsidRPr="00F622A5">
        <w:rPr>
          <w:rFonts w:ascii="Times New Roman" w:hAnsi="Times New Roman"/>
          <w:sz w:val="28"/>
          <w:szCs w:val="28"/>
        </w:rPr>
        <w:t>86</w:t>
      </w:r>
      <w:r w:rsidRPr="00F622A5">
        <w:rPr>
          <w:rFonts w:ascii="Times New Roman" w:hAnsi="Times New Roman"/>
          <w:sz w:val="28"/>
          <w:szCs w:val="28"/>
        </w:rPr>
        <w:t xml:space="preserve"> единиц (</w:t>
      </w:r>
      <w:r w:rsidR="00F622A5" w:rsidRPr="00F622A5">
        <w:rPr>
          <w:rFonts w:ascii="Times New Roman" w:hAnsi="Times New Roman"/>
          <w:sz w:val="28"/>
          <w:szCs w:val="28"/>
        </w:rPr>
        <w:t>6</w:t>
      </w:r>
      <w:r w:rsidR="00C55E9E" w:rsidRPr="00F622A5">
        <w:rPr>
          <w:rFonts w:ascii="Times New Roman" w:hAnsi="Times New Roman"/>
          <w:sz w:val="28"/>
          <w:szCs w:val="28"/>
        </w:rPr>
        <w:t xml:space="preserve"> средних предприятий; 33</w:t>
      </w:r>
      <w:r w:rsidR="00F622A5" w:rsidRPr="00F622A5">
        <w:rPr>
          <w:rFonts w:ascii="Times New Roman" w:hAnsi="Times New Roman"/>
          <w:sz w:val="28"/>
          <w:szCs w:val="28"/>
        </w:rPr>
        <w:t>9</w:t>
      </w:r>
      <w:r w:rsidR="00C55E9E" w:rsidRPr="00F622A5">
        <w:rPr>
          <w:rFonts w:ascii="Times New Roman" w:hAnsi="Times New Roman"/>
          <w:sz w:val="28"/>
          <w:szCs w:val="28"/>
        </w:rPr>
        <w:t xml:space="preserve"> малых предприятий; 9</w:t>
      </w:r>
      <w:r w:rsidR="00F622A5" w:rsidRPr="00F622A5">
        <w:rPr>
          <w:rFonts w:ascii="Times New Roman" w:hAnsi="Times New Roman"/>
          <w:sz w:val="28"/>
          <w:szCs w:val="28"/>
        </w:rPr>
        <w:t>4</w:t>
      </w:r>
      <w:r w:rsidR="00F622A5" w:rsidRPr="007F2E3E">
        <w:rPr>
          <w:rFonts w:ascii="Times New Roman" w:hAnsi="Times New Roman"/>
          <w:sz w:val="28"/>
          <w:szCs w:val="28"/>
        </w:rPr>
        <w:t>1</w:t>
      </w:r>
      <w:r w:rsidR="00C55E9E" w:rsidRPr="007F2E3E">
        <w:rPr>
          <w:rFonts w:ascii="Times New Roman" w:hAnsi="Times New Roman"/>
          <w:sz w:val="28"/>
          <w:szCs w:val="28"/>
        </w:rPr>
        <w:t xml:space="preserve"> индивидуальных предпринимател</w:t>
      </w:r>
      <w:r w:rsidR="00DF6EEE">
        <w:rPr>
          <w:rFonts w:ascii="Times New Roman" w:hAnsi="Times New Roman"/>
          <w:sz w:val="28"/>
          <w:szCs w:val="28"/>
        </w:rPr>
        <w:t>ей</w:t>
      </w:r>
      <w:r w:rsidR="00F622A5" w:rsidRPr="007F2E3E">
        <w:rPr>
          <w:rFonts w:ascii="Times New Roman" w:hAnsi="Times New Roman"/>
          <w:sz w:val="28"/>
          <w:szCs w:val="28"/>
        </w:rPr>
        <w:t>)</w:t>
      </w:r>
      <w:r w:rsidR="00C55E9E" w:rsidRPr="007F2E3E">
        <w:rPr>
          <w:rFonts w:ascii="Times New Roman" w:hAnsi="Times New Roman"/>
          <w:sz w:val="28"/>
          <w:szCs w:val="28"/>
        </w:rPr>
        <w:t>.</w:t>
      </w:r>
      <w:r w:rsidR="00C55E9E" w:rsidRPr="007F2E3E">
        <w:rPr>
          <w:sz w:val="28"/>
          <w:szCs w:val="28"/>
        </w:rPr>
        <w:t xml:space="preserve"> </w:t>
      </w:r>
    </w:p>
    <w:p w:rsidR="00C518B0" w:rsidRPr="007F2E3E" w:rsidRDefault="00791E03" w:rsidP="007F2E3E">
      <w:pPr>
        <w:spacing w:after="0" w:line="240" w:lineRule="auto"/>
        <w:ind w:firstLine="708"/>
        <w:jc w:val="both"/>
        <w:rPr>
          <w:sz w:val="28"/>
          <w:szCs w:val="28"/>
        </w:rPr>
      </w:pPr>
      <w:r w:rsidRPr="007F2E3E">
        <w:rPr>
          <w:rFonts w:ascii="Times New Roman" w:hAnsi="Times New Roman"/>
          <w:sz w:val="28"/>
          <w:szCs w:val="28"/>
        </w:rPr>
        <w:t>Средняя заработная плата работников в сфере малого и среднего предпринимательства за 201</w:t>
      </w:r>
      <w:r w:rsidR="00C518B0" w:rsidRPr="007F2E3E">
        <w:rPr>
          <w:rFonts w:ascii="Times New Roman" w:hAnsi="Times New Roman"/>
          <w:sz w:val="28"/>
          <w:szCs w:val="28"/>
        </w:rPr>
        <w:t>7</w:t>
      </w:r>
      <w:r w:rsidRPr="007F2E3E">
        <w:rPr>
          <w:rFonts w:ascii="Times New Roman" w:hAnsi="Times New Roman"/>
          <w:sz w:val="28"/>
          <w:szCs w:val="28"/>
        </w:rPr>
        <w:t xml:space="preserve"> год составила </w:t>
      </w:r>
      <w:r w:rsidR="00C518B0" w:rsidRPr="007F2E3E">
        <w:rPr>
          <w:rFonts w:ascii="Times New Roman" w:hAnsi="Times New Roman"/>
          <w:sz w:val="28"/>
          <w:szCs w:val="28"/>
        </w:rPr>
        <w:t>23240,5</w:t>
      </w:r>
      <w:r w:rsidRPr="007F2E3E">
        <w:rPr>
          <w:rFonts w:ascii="Times New Roman" w:hAnsi="Times New Roman"/>
          <w:sz w:val="28"/>
          <w:szCs w:val="28"/>
        </w:rPr>
        <w:t xml:space="preserve"> рублей, темп роста к прошлому году составил 10</w:t>
      </w:r>
      <w:r w:rsidR="00C518B0" w:rsidRPr="007F2E3E">
        <w:rPr>
          <w:rFonts w:ascii="Times New Roman" w:hAnsi="Times New Roman"/>
          <w:sz w:val="28"/>
          <w:szCs w:val="28"/>
        </w:rPr>
        <w:t xml:space="preserve">6,6 </w:t>
      </w:r>
      <w:r w:rsidRPr="007F2E3E">
        <w:rPr>
          <w:rFonts w:ascii="Times New Roman" w:hAnsi="Times New Roman"/>
          <w:sz w:val="28"/>
          <w:szCs w:val="28"/>
        </w:rPr>
        <w:t>%.</w:t>
      </w:r>
      <w:r w:rsidR="00C518B0" w:rsidRPr="007F2E3E">
        <w:rPr>
          <w:sz w:val="28"/>
          <w:szCs w:val="28"/>
        </w:rPr>
        <w:t xml:space="preserve"> </w:t>
      </w:r>
    </w:p>
    <w:p w:rsidR="007F2E3E" w:rsidRPr="007F2E3E" w:rsidRDefault="007F2E3E" w:rsidP="007F2E3E">
      <w:pPr>
        <w:pStyle w:val="msonormalcxspmiddlecxspmiddlecxspmiddlecxspmiddle"/>
        <w:spacing w:before="0" w:beforeAutospacing="0" w:after="0" w:afterAutospacing="0"/>
        <w:ind w:firstLine="709"/>
        <w:jc w:val="both"/>
        <w:rPr>
          <w:sz w:val="28"/>
          <w:szCs w:val="28"/>
        </w:rPr>
      </w:pPr>
      <w:r w:rsidRPr="007F2E3E">
        <w:rPr>
          <w:sz w:val="28"/>
          <w:szCs w:val="28"/>
        </w:rPr>
        <w:t>Удельный вес налоговых поступлений от субъектов малого и среднего предпринимательства за 2017 год составил 9,93 % в общем объеме налоговых поступлений в консолидированный бюджет муниципального образования или 33571,8, тыс. руб., что на  3,483  тыс. руб. меньше отчётного периода прошлого года. Снижение поступление налогов связано с предоставлением «налоговых каникул» для вновь зарегистрированных индивидуальных предпринимателей.</w:t>
      </w:r>
    </w:p>
    <w:p w:rsidR="000D0382" w:rsidRPr="007F2E3E" w:rsidRDefault="000D0382" w:rsidP="007F2E3E">
      <w:pPr>
        <w:pStyle w:val="msonormalcxspmiddlecxspmiddlecxspmiddlecxspmiddle"/>
        <w:spacing w:before="0" w:beforeAutospacing="0" w:after="0" w:afterAutospacing="0"/>
        <w:ind w:firstLine="709"/>
        <w:contextualSpacing/>
        <w:jc w:val="both"/>
        <w:rPr>
          <w:sz w:val="28"/>
          <w:szCs w:val="28"/>
        </w:rPr>
      </w:pPr>
      <w:r w:rsidRPr="007F2E3E">
        <w:rPr>
          <w:sz w:val="28"/>
          <w:szCs w:val="28"/>
        </w:rPr>
        <w:t>За 201</w:t>
      </w:r>
      <w:r w:rsidR="007F2E3E" w:rsidRPr="007F2E3E">
        <w:rPr>
          <w:sz w:val="28"/>
          <w:szCs w:val="28"/>
        </w:rPr>
        <w:t>7</w:t>
      </w:r>
      <w:r w:rsidRPr="007F2E3E">
        <w:rPr>
          <w:sz w:val="28"/>
          <w:szCs w:val="28"/>
        </w:rPr>
        <w:t xml:space="preserve"> год было создано </w:t>
      </w:r>
      <w:r w:rsidR="007F2E3E" w:rsidRPr="007F2E3E">
        <w:rPr>
          <w:sz w:val="28"/>
          <w:szCs w:val="28"/>
        </w:rPr>
        <w:t>603</w:t>
      </w:r>
      <w:r w:rsidR="00791E03" w:rsidRPr="007F2E3E">
        <w:rPr>
          <w:sz w:val="28"/>
          <w:szCs w:val="28"/>
        </w:rPr>
        <w:t xml:space="preserve"> рабочих места </w:t>
      </w:r>
      <w:r w:rsidR="009A4A3A" w:rsidRPr="007F2E3E">
        <w:rPr>
          <w:sz w:val="28"/>
          <w:szCs w:val="28"/>
        </w:rPr>
        <w:t>при плане</w:t>
      </w:r>
      <w:r w:rsidR="00791E03" w:rsidRPr="007F2E3E">
        <w:rPr>
          <w:sz w:val="28"/>
          <w:szCs w:val="28"/>
        </w:rPr>
        <w:t xml:space="preserve"> 56</w:t>
      </w:r>
      <w:r w:rsidR="007F2E3E" w:rsidRPr="007F2E3E">
        <w:rPr>
          <w:sz w:val="28"/>
          <w:szCs w:val="28"/>
        </w:rPr>
        <w:t>2</w:t>
      </w:r>
      <w:r w:rsidR="00791E03" w:rsidRPr="007F2E3E">
        <w:rPr>
          <w:sz w:val="28"/>
          <w:szCs w:val="28"/>
        </w:rPr>
        <w:t xml:space="preserve"> новых рабочих мест</w:t>
      </w:r>
      <w:r w:rsidRPr="007F2E3E">
        <w:rPr>
          <w:sz w:val="28"/>
          <w:szCs w:val="28"/>
        </w:rPr>
        <w:t>.</w:t>
      </w:r>
    </w:p>
    <w:p w:rsidR="00400630" w:rsidRPr="00580AEF" w:rsidRDefault="00400630" w:rsidP="00C55E9E">
      <w:pPr>
        <w:spacing w:after="0" w:line="240" w:lineRule="auto"/>
        <w:ind w:firstLine="709"/>
        <w:jc w:val="both"/>
        <w:rPr>
          <w:rFonts w:ascii="Times New Roman" w:hAnsi="Times New Roman"/>
          <w:sz w:val="28"/>
          <w:szCs w:val="28"/>
          <w:lang w:eastAsia="ru-RU"/>
        </w:rPr>
      </w:pPr>
      <w:r w:rsidRPr="00580AEF">
        <w:rPr>
          <w:rFonts w:ascii="Times New Roman" w:hAnsi="Times New Roman"/>
          <w:sz w:val="28"/>
          <w:szCs w:val="28"/>
          <w:lang w:eastAsia="ru-RU"/>
        </w:rPr>
        <w:t>В Кимовском районе число субъектов малого и среднего предпринимательства (с учетом индивидуальных предпринимателей) на 10000 человек населения в 201</w:t>
      </w:r>
      <w:r w:rsidR="00EE4609" w:rsidRPr="00580AEF">
        <w:rPr>
          <w:rFonts w:ascii="Times New Roman" w:hAnsi="Times New Roman"/>
          <w:sz w:val="28"/>
          <w:szCs w:val="28"/>
          <w:lang w:eastAsia="ru-RU"/>
        </w:rPr>
        <w:t>7</w:t>
      </w:r>
      <w:r w:rsidRPr="00580AEF">
        <w:rPr>
          <w:rFonts w:ascii="Times New Roman" w:hAnsi="Times New Roman"/>
          <w:sz w:val="28"/>
          <w:szCs w:val="28"/>
          <w:lang w:eastAsia="ru-RU"/>
        </w:rPr>
        <w:t xml:space="preserve"> году составило </w:t>
      </w:r>
      <w:r w:rsidR="00EE4609" w:rsidRPr="00580AEF">
        <w:rPr>
          <w:rFonts w:ascii="Times New Roman" w:hAnsi="Times New Roman"/>
          <w:sz w:val="28"/>
          <w:szCs w:val="28"/>
          <w:lang w:eastAsia="ru-RU"/>
        </w:rPr>
        <w:t>327</w:t>
      </w:r>
      <w:r w:rsidRPr="00580AEF">
        <w:rPr>
          <w:rFonts w:ascii="Times New Roman" w:hAnsi="Times New Roman"/>
          <w:sz w:val="28"/>
          <w:szCs w:val="28"/>
          <w:lang w:eastAsia="ru-RU"/>
        </w:rPr>
        <w:t xml:space="preserve"> ед</w:t>
      </w:r>
      <w:r w:rsidR="00EE4609" w:rsidRPr="00580AEF">
        <w:rPr>
          <w:rFonts w:ascii="Times New Roman" w:hAnsi="Times New Roman"/>
          <w:sz w:val="28"/>
          <w:szCs w:val="28"/>
          <w:lang w:eastAsia="ru-RU"/>
        </w:rPr>
        <w:t>.</w:t>
      </w:r>
      <w:r w:rsidRPr="00580AEF">
        <w:rPr>
          <w:rFonts w:ascii="Times New Roman" w:hAnsi="Times New Roman"/>
          <w:sz w:val="28"/>
          <w:szCs w:val="28"/>
          <w:lang w:eastAsia="ru-RU"/>
        </w:rPr>
        <w:t>, в 201</w:t>
      </w:r>
      <w:r w:rsidR="00EE4609" w:rsidRPr="00580AEF">
        <w:rPr>
          <w:rFonts w:ascii="Times New Roman" w:hAnsi="Times New Roman"/>
          <w:sz w:val="28"/>
          <w:szCs w:val="28"/>
          <w:lang w:eastAsia="ru-RU"/>
        </w:rPr>
        <w:t xml:space="preserve">6 </w:t>
      </w:r>
      <w:r w:rsidRPr="00580AEF">
        <w:rPr>
          <w:rFonts w:ascii="Times New Roman" w:hAnsi="Times New Roman"/>
          <w:sz w:val="28"/>
          <w:szCs w:val="28"/>
          <w:lang w:eastAsia="ru-RU"/>
        </w:rPr>
        <w:t>г</w:t>
      </w:r>
      <w:r w:rsidR="00EE4609" w:rsidRPr="00580AEF">
        <w:rPr>
          <w:rFonts w:ascii="Times New Roman" w:hAnsi="Times New Roman"/>
          <w:sz w:val="28"/>
          <w:szCs w:val="28"/>
          <w:lang w:eastAsia="ru-RU"/>
        </w:rPr>
        <w:t>оду</w:t>
      </w:r>
      <w:r w:rsidRPr="00580AEF">
        <w:rPr>
          <w:rFonts w:ascii="Times New Roman" w:hAnsi="Times New Roman"/>
          <w:sz w:val="28"/>
          <w:szCs w:val="28"/>
          <w:lang w:eastAsia="ru-RU"/>
        </w:rPr>
        <w:t xml:space="preserve"> – </w:t>
      </w:r>
      <w:r w:rsidR="00EE4609" w:rsidRPr="00580AEF">
        <w:rPr>
          <w:rFonts w:ascii="Times New Roman" w:hAnsi="Times New Roman"/>
          <w:sz w:val="28"/>
          <w:szCs w:val="28"/>
          <w:lang w:eastAsia="ru-RU"/>
        </w:rPr>
        <w:t>309,1</w:t>
      </w:r>
      <w:r w:rsidRPr="00580AEF">
        <w:rPr>
          <w:rFonts w:ascii="Times New Roman" w:hAnsi="Times New Roman"/>
          <w:sz w:val="28"/>
          <w:szCs w:val="28"/>
          <w:lang w:eastAsia="ru-RU"/>
        </w:rPr>
        <w:t xml:space="preserve"> ед</w:t>
      </w:r>
      <w:r w:rsidR="00EE4609" w:rsidRPr="00580AEF">
        <w:rPr>
          <w:rFonts w:ascii="Times New Roman" w:hAnsi="Times New Roman"/>
          <w:sz w:val="28"/>
          <w:szCs w:val="28"/>
          <w:lang w:eastAsia="ru-RU"/>
        </w:rPr>
        <w:t>.</w:t>
      </w:r>
      <w:r w:rsidR="00C4738F" w:rsidRPr="00580AEF">
        <w:rPr>
          <w:rFonts w:ascii="Times New Roman" w:hAnsi="Times New Roman"/>
          <w:sz w:val="28"/>
          <w:szCs w:val="28"/>
          <w:lang w:eastAsia="ru-RU"/>
        </w:rPr>
        <w:t xml:space="preserve"> </w:t>
      </w:r>
      <w:r w:rsidR="00107B6B" w:rsidRPr="00580AEF">
        <w:rPr>
          <w:rFonts w:ascii="Times New Roman" w:hAnsi="Times New Roman"/>
          <w:sz w:val="28"/>
          <w:szCs w:val="28"/>
          <w:lang w:eastAsia="ru-RU"/>
        </w:rPr>
        <w:t>К</w:t>
      </w:r>
      <w:r w:rsidR="00C4738F" w:rsidRPr="00580AEF">
        <w:rPr>
          <w:rFonts w:ascii="Times New Roman" w:hAnsi="Times New Roman"/>
          <w:sz w:val="28"/>
          <w:szCs w:val="28"/>
          <w:lang w:eastAsia="ru-RU"/>
        </w:rPr>
        <w:t xml:space="preserve"> 20</w:t>
      </w:r>
      <w:r w:rsidR="00EE4609" w:rsidRPr="00580AEF">
        <w:rPr>
          <w:rFonts w:ascii="Times New Roman" w:hAnsi="Times New Roman"/>
          <w:sz w:val="28"/>
          <w:szCs w:val="28"/>
          <w:lang w:eastAsia="ru-RU"/>
        </w:rPr>
        <w:t>20</w:t>
      </w:r>
      <w:r w:rsidR="00C4738F" w:rsidRPr="00580AEF">
        <w:rPr>
          <w:rFonts w:ascii="Times New Roman" w:hAnsi="Times New Roman"/>
          <w:sz w:val="28"/>
          <w:szCs w:val="28"/>
          <w:lang w:eastAsia="ru-RU"/>
        </w:rPr>
        <w:t xml:space="preserve"> году этот показатель планируется на уровне </w:t>
      </w:r>
      <w:r w:rsidR="000D762B" w:rsidRPr="00580AEF">
        <w:rPr>
          <w:rFonts w:ascii="Times New Roman" w:hAnsi="Times New Roman"/>
          <w:sz w:val="28"/>
          <w:szCs w:val="28"/>
          <w:lang w:eastAsia="ru-RU"/>
        </w:rPr>
        <w:t>3</w:t>
      </w:r>
      <w:r w:rsidR="00EE4609" w:rsidRPr="00580AEF">
        <w:rPr>
          <w:rFonts w:ascii="Times New Roman" w:hAnsi="Times New Roman"/>
          <w:sz w:val="28"/>
          <w:szCs w:val="28"/>
          <w:lang w:eastAsia="ru-RU"/>
        </w:rPr>
        <w:t>3</w:t>
      </w:r>
      <w:r w:rsidR="000D762B" w:rsidRPr="00580AEF">
        <w:rPr>
          <w:rFonts w:ascii="Times New Roman" w:hAnsi="Times New Roman"/>
          <w:sz w:val="28"/>
          <w:szCs w:val="28"/>
          <w:lang w:eastAsia="ru-RU"/>
        </w:rPr>
        <w:t>6</w:t>
      </w:r>
      <w:r w:rsidR="00EE4609" w:rsidRPr="00580AEF">
        <w:rPr>
          <w:rFonts w:ascii="Times New Roman" w:hAnsi="Times New Roman"/>
          <w:sz w:val="28"/>
          <w:szCs w:val="28"/>
          <w:lang w:eastAsia="ru-RU"/>
        </w:rPr>
        <w:t>,8</w:t>
      </w:r>
      <w:r w:rsidR="00C4738F" w:rsidRPr="00580AEF">
        <w:rPr>
          <w:rFonts w:ascii="Times New Roman" w:hAnsi="Times New Roman"/>
          <w:sz w:val="28"/>
          <w:szCs w:val="28"/>
          <w:lang w:eastAsia="ru-RU"/>
        </w:rPr>
        <w:t xml:space="preserve"> ед.</w:t>
      </w:r>
    </w:p>
    <w:p w:rsidR="003E3BED" w:rsidRPr="00580AEF" w:rsidRDefault="003E3BED" w:rsidP="00911873">
      <w:pPr>
        <w:spacing w:after="0" w:line="240" w:lineRule="auto"/>
        <w:ind w:firstLine="709"/>
        <w:jc w:val="both"/>
        <w:rPr>
          <w:rFonts w:ascii="Times New Roman" w:hAnsi="Times New Roman"/>
          <w:sz w:val="28"/>
          <w:szCs w:val="28"/>
          <w:lang w:eastAsia="ru-RU"/>
        </w:rPr>
      </w:pPr>
      <w:r w:rsidRPr="00580AEF">
        <w:rPr>
          <w:rFonts w:ascii="Times New Roman" w:hAnsi="Times New Roman"/>
          <w:noProof/>
          <w:sz w:val="28"/>
          <w:szCs w:val="28"/>
          <w:lang w:eastAsia="ru-RU"/>
        </w:rPr>
        <w:drawing>
          <wp:inline distT="0" distB="0" distL="0" distR="0">
            <wp:extent cx="5486400" cy="3200400"/>
            <wp:effectExtent l="1905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00630" w:rsidRPr="00B314AD" w:rsidRDefault="00400630" w:rsidP="00911873">
      <w:pPr>
        <w:spacing w:after="0" w:line="240" w:lineRule="auto"/>
        <w:ind w:firstLine="709"/>
        <w:jc w:val="both"/>
        <w:rPr>
          <w:rFonts w:ascii="Times New Roman" w:hAnsi="Times New Roman"/>
          <w:sz w:val="28"/>
          <w:szCs w:val="28"/>
          <w:highlight w:val="yellow"/>
          <w:lang w:eastAsia="ru-RU"/>
        </w:rPr>
      </w:pPr>
      <w:r w:rsidRPr="00580AEF">
        <w:rPr>
          <w:rFonts w:ascii="Times New Roman" w:hAnsi="Times New Roman"/>
          <w:sz w:val="28"/>
          <w:szCs w:val="28"/>
          <w:lang w:eastAsia="ru-RU"/>
        </w:rPr>
        <w:t>Доля среднесписочной численности работников (без в</w:t>
      </w:r>
      <w:r w:rsidRPr="00C05381">
        <w:rPr>
          <w:rFonts w:ascii="Times New Roman" w:hAnsi="Times New Roman"/>
          <w:sz w:val="28"/>
          <w:szCs w:val="28"/>
          <w:lang w:eastAsia="ru-RU"/>
        </w:rPr>
        <w:t xml:space="preserve">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r w:rsidR="00C4738F" w:rsidRPr="00C05381">
        <w:rPr>
          <w:rFonts w:ascii="Times New Roman" w:hAnsi="Times New Roman"/>
          <w:sz w:val="28"/>
          <w:szCs w:val="28"/>
          <w:lang w:eastAsia="ru-RU"/>
        </w:rPr>
        <w:t xml:space="preserve">района </w:t>
      </w:r>
      <w:r w:rsidRPr="00C05381">
        <w:rPr>
          <w:rFonts w:ascii="Times New Roman" w:hAnsi="Times New Roman"/>
          <w:sz w:val="28"/>
          <w:szCs w:val="28"/>
          <w:lang w:eastAsia="ru-RU"/>
        </w:rPr>
        <w:t>в 201</w:t>
      </w:r>
      <w:r w:rsidR="00C05381" w:rsidRPr="00C05381">
        <w:rPr>
          <w:rFonts w:ascii="Times New Roman" w:hAnsi="Times New Roman"/>
          <w:sz w:val="28"/>
          <w:szCs w:val="28"/>
          <w:lang w:eastAsia="ru-RU"/>
        </w:rPr>
        <w:t>7</w:t>
      </w:r>
      <w:r w:rsidRPr="00C05381">
        <w:rPr>
          <w:rFonts w:ascii="Times New Roman" w:hAnsi="Times New Roman"/>
          <w:sz w:val="28"/>
          <w:szCs w:val="28"/>
          <w:lang w:eastAsia="ru-RU"/>
        </w:rPr>
        <w:t xml:space="preserve"> году составила </w:t>
      </w:r>
      <w:r w:rsidR="000D762B" w:rsidRPr="00C05381">
        <w:rPr>
          <w:rFonts w:ascii="Times New Roman" w:hAnsi="Times New Roman"/>
          <w:sz w:val="28"/>
          <w:szCs w:val="28"/>
          <w:lang w:eastAsia="ru-RU"/>
        </w:rPr>
        <w:t>3</w:t>
      </w:r>
      <w:r w:rsidR="00C05381" w:rsidRPr="00C05381">
        <w:rPr>
          <w:rFonts w:ascii="Times New Roman" w:hAnsi="Times New Roman"/>
          <w:sz w:val="28"/>
          <w:szCs w:val="28"/>
          <w:lang w:eastAsia="ru-RU"/>
        </w:rPr>
        <w:t>8</w:t>
      </w:r>
      <w:r w:rsidR="000D762B" w:rsidRPr="00C05381">
        <w:rPr>
          <w:rFonts w:ascii="Times New Roman" w:hAnsi="Times New Roman"/>
          <w:sz w:val="28"/>
          <w:szCs w:val="28"/>
          <w:lang w:eastAsia="ru-RU"/>
        </w:rPr>
        <w:t>,</w:t>
      </w:r>
      <w:r w:rsidR="00C05381" w:rsidRPr="00C05381">
        <w:rPr>
          <w:rFonts w:ascii="Times New Roman" w:hAnsi="Times New Roman"/>
          <w:sz w:val="28"/>
          <w:szCs w:val="28"/>
          <w:lang w:eastAsia="ru-RU"/>
        </w:rPr>
        <w:t>8</w:t>
      </w:r>
      <w:r w:rsidR="00C4738F" w:rsidRPr="00C05381">
        <w:rPr>
          <w:rFonts w:ascii="Times New Roman" w:hAnsi="Times New Roman"/>
          <w:sz w:val="28"/>
          <w:szCs w:val="28"/>
          <w:lang w:eastAsia="ru-RU"/>
        </w:rPr>
        <w:t xml:space="preserve"> </w:t>
      </w:r>
      <w:r w:rsidRPr="00C05381">
        <w:rPr>
          <w:rFonts w:ascii="Times New Roman" w:hAnsi="Times New Roman"/>
          <w:sz w:val="28"/>
          <w:szCs w:val="28"/>
          <w:lang w:eastAsia="ru-RU"/>
        </w:rPr>
        <w:t>%, в</w:t>
      </w:r>
      <w:r w:rsidR="00C4738F" w:rsidRPr="00C05381">
        <w:rPr>
          <w:rFonts w:ascii="Times New Roman" w:hAnsi="Times New Roman"/>
          <w:sz w:val="28"/>
          <w:szCs w:val="28"/>
          <w:lang w:eastAsia="ru-RU"/>
        </w:rPr>
        <w:t xml:space="preserve"> 201</w:t>
      </w:r>
      <w:r w:rsidR="00C05381" w:rsidRPr="00C05381">
        <w:rPr>
          <w:rFonts w:ascii="Times New Roman" w:hAnsi="Times New Roman"/>
          <w:sz w:val="28"/>
          <w:szCs w:val="28"/>
          <w:lang w:eastAsia="ru-RU"/>
        </w:rPr>
        <w:t>6</w:t>
      </w:r>
      <w:r w:rsidR="00C4738F" w:rsidRPr="00C05381">
        <w:rPr>
          <w:rFonts w:ascii="Times New Roman" w:hAnsi="Times New Roman"/>
          <w:sz w:val="28"/>
          <w:szCs w:val="28"/>
          <w:lang w:eastAsia="ru-RU"/>
        </w:rPr>
        <w:t xml:space="preserve"> году  </w:t>
      </w:r>
      <w:r w:rsidR="00C05381" w:rsidRPr="00C05381">
        <w:rPr>
          <w:rFonts w:ascii="Times New Roman" w:hAnsi="Times New Roman"/>
          <w:sz w:val="28"/>
          <w:szCs w:val="28"/>
          <w:lang w:eastAsia="ru-RU"/>
        </w:rPr>
        <w:t>30,6</w:t>
      </w:r>
      <w:r w:rsidRPr="00C05381">
        <w:rPr>
          <w:rFonts w:ascii="Times New Roman" w:hAnsi="Times New Roman"/>
          <w:sz w:val="28"/>
          <w:szCs w:val="28"/>
          <w:lang w:eastAsia="ru-RU"/>
        </w:rPr>
        <w:t xml:space="preserve"> %.</w:t>
      </w:r>
      <w:r w:rsidR="00107B6B" w:rsidRPr="00C05381">
        <w:rPr>
          <w:rFonts w:ascii="Times New Roman" w:hAnsi="Times New Roman"/>
          <w:sz w:val="28"/>
          <w:szCs w:val="28"/>
          <w:lang w:eastAsia="ru-RU"/>
        </w:rPr>
        <w:t xml:space="preserve"> На 20</w:t>
      </w:r>
      <w:r w:rsidR="00C05381" w:rsidRPr="00C05381">
        <w:rPr>
          <w:rFonts w:ascii="Times New Roman" w:hAnsi="Times New Roman"/>
          <w:sz w:val="28"/>
          <w:szCs w:val="28"/>
          <w:lang w:eastAsia="ru-RU"/>
        </w:rPr>
        <w:t>20</w:t>
      </w:r>
      <w:r w:rsidR="00107B6B" w:rsidRPr="00C05381">
        <w:rPr>
          <w:rFonts w:ascii="Times New Roman" w:hAnsi="Times New Roman"/>
          <w:sz w:val="28"/>
          <w:szCs w:val="28"/>
          <w:lang w:eastAsia="ru-RU"/>
        </w:rPr>
        <w:t xml:space="preserve"> год – </w:t>
      </w:r>
      <w:r w:rsidR="00C05381" w:rsidRPr="00C05381">
        <w:rPr>
          <w:rFonts w:ascii="Times New Roman" w:hAnsi="Times New Roman"/>
          <w:sz w:val="28"/>
          <w:szCs w:val="28"/>
          <w:lang w:eastAsia="ru-RU"/>
        </w:rPr>
        <w:t xml:space="preserve">40,0 </w:t>
      </w:r>
      <w:r w:rsidR="00107B6B" w:rsidRPr="00C05381">
        <w:rPr>
          <w:rFonts w:ascii="Times New Roman" w:hAnsi="Times New Roman"/>
          <w:sz w:val="28"/>
          <w:szCs w:val="28"/>
          <w:lang w:eastAsia="ru-RU"/>
        </w:rPr>
        <w:t>%.</w:t>
      </w:r>
    </w:p>
    <w:p w:rsidR="00C1361C" w:rsidRPr="00534A3B" w:rsidRDefault="00C1361C" w:rsidP="00911873">
      <w:pPr>
        <w:spacing w:after="0" w:line="240" w:lineRule="auto"/>
        <w:ind w:firstLine="539"/>
        <w:jc w:val="both"/>
        <w:rPr>
          <w:rFonts w:ascii="Times New Roman" w:hAnsi="Times New Roman"/>
          <w:color w:val="000000"/>
          <w:sz w:val="28"/>
          <w:szCs w:val="28"/>
          <w:u w:val="single"/>
        </w:rPr>
      </w:pPr>
      <w:r w:rsidRPr="00534A3B">
        <w:rPr>
          <w:rFonts w:ascii="Times New Roman" w:hAnsi="Times New Roman"/>
          <w:b/>
          <w:sz w:val="28"/>
          <w:szCs w:val="28"/>
          <w:u w:val="single"/>
        </w:rPr>
        <w:lastRenderedPageBreak/>
        <w:t>Инвестиционная привлекательность</w:t>
      </w:r>
    </w:p>
    <w:p w:rsidR="00F01741" w:rsidRPr="00534A3B" w:rsidRDefault="00F01741" w:rsidP="00911873">
      <w:pPr>
        <w:spacing w:after="0" w:line="240" w:lineRule="auto"/>
        <w:ind w:firstLine="708"/>
        <w:jc w:val="both"/>
        <w:rPr>
          <w:rFonts w:ascii="Times New Roman" w:hAnsi="Times New Roman"/>
          <w:bCs/>
          <w:sz w:val="28"/>
          <w:szCs w:val="28"/>
          <w:lang w:eastAsia="ru-RU"/>
        </w:rPr>
      </w:pPr>
      <w:r w:rsidRPr="00534A3B">
        <w:rPr>
          <w:rFonts w:ascii="Times New Roman" w:hAnsi="Times New Roman"/>
          <w:bCs/>
          <w:sz w:val="28"/>
          <w:szCs w:val="28"/>
          <w:lang w:eastAsia="ru-RU"/>
        </w:rPr>
        <w:t xml:space="preserve">Привлечение инвестиций является одним из важнейших рычагов воздействия на социально- экономическое развитие муниципального образования. </w:t>
      </w:r>
      <w:r w:rsidR="00805B92" w:rsidRPr="00534A3B">
        <w:rPr>
          <w:rFonts w:ascii="Times New Roman" w:hAnsi="Times New Roman"/>
          <w:bCs/>
          <w:sz w:val="28"/>
          <w:szCs w:val="28"/>
          <w:lang w:eastAsia="ru-RU"/>
        </w:rPr>
        <w:t>Д</w:t>
      </w:r>
      <w:r w:rsidRPr="00534A3B">
        <w:rPr>
          <w:rFonts w:ascii="Times New Roman" w:hAnsi="Times New Roman"/>
          <w:bCs/>
          <w:sz w:val="28"/>
          <w:szCs w:val="28"/>
          <w:lang w:eastAsia="ru-RU"/>
        </w:rPr>
        <w:t>анн</w:t>
      </w:r>
      <w:r w:rsidR="00805B92" w:rsidRPr="00534A3B">
        <w:rPr>
          <w:rFonts w:ascii="Times New Roman" w:hAnsi="Times New Roman"/>
          <w:bCs/>
          <w:sz w:val="28"/>
          <w:szCs w:val="28"/>
          <w:lang w:eastAsia="ru-RU"/>
        </w:rPr>
        <w:t>ый</w:t>
      </w:r>
      <w:r w:rsidRPr="00534A3B">
        <w:rPr>
          <w:rFonts w:ascii="Times New Roman" w:hAnsi="Times New Roman"/>
          <w:bCs/>
          <w:sz w:val="28"/>
          <w:szCs w:val="28"/>
          <w:lang w:eastAsia="ru-RU"/>
        </w:rPr>
        <w:t xml:space="preserve"> показател</w:t>
      </w:r>
      <w:r w:rsidR="00805B92" w:rsidRPr="00534A3B">
        <w:rPr>
          <w:rFonts w:ascii="Times New Roman" w:hAnsi="Times New Roman"/>
          <w:bCs/>
          <w:sz w:val="28"/>
          <w:szCs w:val="28"/>
          <w:lang w:eastAsia="ru-RU"/>
        </w:rPr>
        <w:t>ь</w:t>
      </w:r>
      <w:r w:rsidRPr="00534A3B">
        <w:rPr>
          <w:rFonts w:ascii="Times New Roman" w:hAnsi="Times New Roman"/>
          <w:bCs/>
          <w:sz w:val="28"/>
          <w:szCs w:val="28"/>
          <w:lang w:eastAsia="ru-RU"/>
        </w:rPr>
        <w:t xml:space="preserve"> характеризуют организацию работы в муниципальном образовании по снижению административных барьеров в сфере градостроительства и создани</w:t>
      </w:r>
      <w:r w:rsidR="00554DC9" w:rsidRPr="00534A3B">
        <w:rPr>
          <w:rFonts w:ascii="Times New Roman" w:hAnsi="Times New Roman"/>
          <w:bCs/>
          <w:sz w:val="28"/>
          <w:szCs w:val="28"/>
          <w:lang w:eastAsia="ru-RU"/>
        </w:rPr>
        <w:t>е</w:t>
      </w:r>
      <w:r w:rsidRPr="00534A3B">
        <w:rPr>
          <w:rFonts w:ascii="Times New Roman" w:hAnsi="Times New Roman"/>
          <w:bCs/>
          <w:sz w:val="28"/>
          <w:szCs w:val="28"/>
          <w:lang w:eastAsia="ru-RU"/>
        </w:rPr>
        <w:t xml:space="preserve"> условий для капитального и жилищного строительства и, как следствие, создани</w:t>
      </w:r>
      <w:r w:rsidR="00AB436F" w:rsidRPr="00534A3B">
        <w:rPr>
          <w:rFonts w:ascii="Times New Roman" w:hAnsi="Times New Roman"/>
          <w:bCs/>
          <w:sz w:val="28"/>
          <w:szCs w:val="28"/>
          <w:lang w:eastAsia="ru-RU"/>
        </w:rPr>
        <w:t>е</w:t>
      </w:r>
      <w:r w:rsidRPr="00534A3B">
        <w:rPr>
          <w:rFonts w:ascii="Times New Roman" w:hAnsi="Times New Roman"/>
          <w:bCs/>
          <w:sz w:val="28"/>
          <w:szCs w:val="28"/>
          <w:lang w:eastAsia="ru-RU"/>
        </w:rPr>
        <w:t xml:space="preserve"> на территории благоприятного предпринимательского климата.</w:t>
      </w:r>
    </w:p>
    <w:p w:rsidR="00843260" w:rsidRPr="00B314AD" w:rsidRDefault="00F01741" w:rsidP="00911873">
      <w:pPr>
        <w:spacing w:after="0" w:line="240" w:lineRule="auto"/>
        <w:ind w:firstLine="720"/>
        <w:jc w:val="both"/>
        <w:rPr>
          <w:rFonts w:ascii="Times New Roman" w:hAnsi="Times New Roman"/>
          <w:sz w:val="28"/>
          <w:szCs w:val="28"/>
          <w:highlight w:val="yellow"/>
          <w:lang w:eastAsia="ru-RU"/>
        </w:rPr>
      </w:pPr>
      <w:r w:rsidRPr="00534A3B">
        <w:rPr>
          <w:rFonts w:ascii="Times New Roman" w:hAnsi="Times New Roman"/>
          <w:sz w:val="28"/>
          <w:szCs w:val="28"/>
          <w:lang w:eastAsia="ru-RU"/>
        </w:rPr>
        <w:t xml:space="preserve">Объем инвестиций в основной капитал (за исключением бюджетных средств) в расчете на 1 жителя зависит от общего объема инвестиций в основной капитал и от среднесписочного </w:t>
      </w:r>
      <w:r w:rsidR="00AB436F" w:rsidRPr="00534A3B">
        <w:rPr>
          <w:rFonts w:ascii="Times New Roman" w:hAnsi="Times New Roman"/>
          <w:sz w:val="28"/>
          <w:szCs w:val="28"/>
          <w:lang w:eastAsia="ru-RU"/>
        </w:rPr>
        <w:t>числа</w:t>
      </w:r>
      <w:r w:rsidRPr="00534A3B">
        <w:rPr>
          <w:rFonts w:ascii="Times New Roman" w:hAnsi="Times New Roman"/>
          <w:sz w:val="28"/>
          <w:szCs w:val="28"/>
          <w:lang w:eastAsia="ru-RU"/>
        </w:rPr>
        <w:t xml:space="preserve"> жителей муниципального района. По </w:t>
      </w:r>
      <w:proofErr w:type="spellStart"/>
      <w:r w:rsidRPr="00534A3B">
        <w:rPr>
          <w:rFonts w:ascii="Times New Roman" w:hAnsi="Times New Roman"/>
          <w:sz w:val="28"/>
          <w:szCs w:val="28"/>
          <w:lang w:eastAsia="ru-RU"/>
        </w:rPr>
        <w:t>Кимовскому</w:t>
      </w:r>
      <w:proofErr w:type="spellEnd"/>
      <w:r w:rsidRPr="00534A3B">
        <w:rPr>
          <w:rFonts w:ascii="Times New Roman" w:hAnsi="Times New Roman"/>
          <w:sz w:val="28"/>
          <w:szCs w:val="28"/>
          <w:lang w:eastAsia="ru-RU"/>
        </w:rPr>
        <w:t xml:space="preserve"> району в 201</w:t>
      </w:r>
      <w:r w:rsidR="00534A3B" w:rsidRPr="00534A3B">
        <w:rPr>
          <w:rFonts w:ascii="Times New Roman" w:hAnsi="Times New Roman"/>
          <w:sz w:val="28"/>
          <w:szCs w:val="28"/>
          <w:lang w:eastAsia="ru-RU"/>
        </w:rPr>
        <w:t>7</w:t>
      </w:r>
      <w:r w:rsidRPr="00534A3B">
        <w:rPr>
          <w:rFonts w:ascii="Times New Roman" w:hAnsi="Times New Roman"/>
          <w:sz w:val="28"/>
          <w:szCs w:val="28"/>
          <w:lang w:eastAsia="ru-RU"/>
        </w:rPr>
        <w:t xml:space="preserve"> году величина </w:t>
      </w:r>
      <w:r w:rsidR="004B4878">
        <w:rPr>
          <w:rFonts w:ascii="Times New Roman" w:hAnsi="Times New Roman"/>
          <w:sz w:val="28"/>
          <w:szCs w:val="28"/>
          <w:lang w:eastAsia="ru-RU"/>
        </w:rPr>
        <w:t>данного</w:t>
      </w:r>
      <w:r w:rsidRPr="00534A3B">
        <w:rPr>
          <w:rFonts w:ascii="Times New Roman" w:hAnsi="Times New Roman"/>
          <w:sz w:val="28"/>
          <w:szCs w:val="28"/>
          <w:lang w:eastAsia="ru-RU"/>
        </w:rPr>
        <w:t xml:space="preserve"> показателя состав</w:t>
      </w:r>
      <w:r w:rsidR="004E6AA0" w:rsidRPr="00534A3B">
        <w:rPr>
          <w:rFonts w:ascii="Times New Roman" w:hAnsi="Times New Roman"/>
          <w:sz w:val="28"/>
          <w:szCs w:val="28"/>
          <w:lang w:eastAsia="ru-RU"/>
        </w:rPr>
        <w:t>ила</w:t>
      </w:r>
      <w:r w:rsidRPr="00534A3B">
        <w:rPr>
          <w:rFonts w:ascii="Times New Roman" w:hAnsi="Times New Roman"/>
          <w:sz w:val="28"/>
          <w:szCs w:val="28"/>
          <w:lang w:eastAsia="ru-RU"/>
        </w:rPr>
        <w:t xml:space="preserve"> </w:t>
      </w:r>
      <w:r w:rsidR="004E6AA0" w:rsidRPr="00534A3B">
        <w:rPr>
          <w:rFonts w:ascii="Times New Roman" w:hAnsi="Times New Roman"/>
          <w:sz w:val="28"/>
          <w:szCs w:val="28"/>
          <w:lang w:eastAsia="ru-RU"/>
        </w:rPr>
        <w:t>3 </w:t>
      </w:r>
      <w:r w:rsidR="00534A3B" w:rsidRPr="00534A3B">
        <w:rPr>
          <w:rFonts w:ascii="Times New Roman" w:hAnsi="Times New Roman"/>
          <w:sz w:val="28"/>
          <w:szCs w:val="28"/>
          <w:lang w:eastAsia="ru-RU"/>
        </w:rPr>
        <w:t>707</w:t>
      </w:r>
      <w:r w:rsidR="004E6AA0" w:rsidRPr="00534A3B">
        <w:rPr>
          <w:rFonts w:ascii="Times New Roman" w:hAnsi="Times New Roman"/>
          <w:sz w:val="28"/>
          <w:szCs w:val="28"/>
          <w:lang w:eastAsia="ru-RU"/>
        </w:rPr>
        <w:t>,</w:t>
      </w:r>
      <w:r w:rsidR="00534A3B" w:rsidRPr="00534A3B">
        <w:rPr>
          <w:rFonts w:ascii="Times New Roman" w:hAnsi="Times New Roman"/>
          <w:sz w:val="28"/>
          <w:szCs w:val="28"/>
          <w:lang w:eastAsia="ru-RU"/>
        </w:rPr>
        <w:t>1</w:t>
      </w:r>
      <w:r w:rsidR="004E6AA0" w:rsidRPr="00534A3B">
        <w:rPr>
          <w:rFonts w:ascii="Times New Roman" w:hAnsi="Times New Roman"/>
          <w:sz w:val="28"/>
          <w:szCs w:val="28"/>
          <w:lang w:eastAsia="ru-RU"/>
        </w:rPr>
        <w:t xml:space="preserve">0 </w:t>
      </w:r>
      <w:r w:rsidRPr="00534A3B">
        <w:rPr>
          <w:rFonts w:ascii="Times New Roman" w:hAnsi="Times New Roman"/>
          <w:sz w:val="28"/>
          <w:szCs w:val="28"/>
          <w:lang w:eastAsia="ru-RU"/>
        </w:rPr>
        <w:t>руб.</w:t>
      </w:r>
      <w:r w:rsidR="00CA678B" w:rsidRPr="00534A3B">
        <w:rPr>
          <w:rFonts w:ascii="Times New Roman" w:hAnsi="Times New Roman"/>
          <w:sz w:val="28"/>
          <w:szCs w:val="28"/>
          <w:lang w:eastAsia="ru-RU"/>
        </w:rPr>
        <w:t xml:space="preserve"> </w:t>
      </w:r>
      <w:r w:rsidRPr="00534A3B">
        <w:rPr>
          <w:rFonts w:ascii="Times New Roman" w:hAnsi="Times New Roman"/>
          <w:sz w:val="28"/>
          <w:szCs w:val="28"/>
          <w:lang w:eastAsia="ru-RU"/>
        </w:rPr>
        <w:t xml:space="preserve"> К 20</w:t>
      </w:r>
      <w:r w:rsidR="00534A3B" w:rsidRPr="00534A3B">
        <w:rPr>
          <w:rFonts w:ascii="Times New Roman" w:hAnsi="Times New Roman"/>
          <w:sz w:val="28"/>
          <w:szCs w:val="28"/>
          <w:lang w:eastAsia="ru-RU"/>
        </w:rPr>
        <w:t>20</w:t>
      </w:r>
      <w:r w:rsidRPr="00534A3B">
        <w:rPr>
          <w:rFonts w:ascii="Times New Roman" w:hAnsi="Times New Roman"/>
          <w:sz w:val="28"/>
          <w:szCs w:val="28"/>
          <w:lang w:eastAsia="ru-RU"/>
        </w:rPr>
        <w:t xml:space="preserve"> году планируется доведение показателя до  </w:t>
      </w:r>
      <w:r w:rsidR="004E6AA0" w:rsidRPr="00534A3B">
        <w:rPr>
          <w:rFonts w:ascii="Times New Roman" w:hAnsi="Times New Roman"/>
          <w:sz w:val="28"/>
          <w:szCs w:val="28"/>
          <w:lang w:eastAsia="ru-RU"/>
        </w:rPr>
        <w:t>4 </w:t>
      </w:r>
      <w:r w:rsidR="00534A3B" w:rsidRPr="00534A3B">
        <w:rPr>
          <w:rFonts w:ascii="Times New Roman" w:hAnsi="Times New Roman"/>
          <w:sz w:val="28"/>
          <w:szCs w:val="28"/>
          <w:lang w:eastAsia="ru-RU"/>
        </w:rPr>
        <w:t>231</w:t>
      </w:r>
      <w:r w:rsidR="004E6AA0" w:rsidRPr="00534A3B">
        <w:rPr>
          <w:rFonts w:ascii="Times New Roman" w:hAnsi="Times New Roman"/>
          <w:sz w:val="28"/>
          <w:szCs w:val="28"/>
          <w:lang w:eastAsia="ru-RU"/>
        </w:rPr>
        <w:t>,</w:t>
      </w:r>
      <w:r w:rsidR="00534A3B" w:rsidRPr="00534A3B">
        <w:rPr>
          <w:rFonts w:ascii="Times New Roman" w:hAnsi="Times New Roman"/>
          <w:sz w:val="28"/>
          <w:szCs w:val="28"/>
          <w:lang w:eastAsia="ru-RU"/>
        </w:rPr>
        <w:t>71</w:t>
      </w:r>
      <w:r w:rsidR="004E6AA0" w:rsidRPr="00534A3B">
        <w:rPr>
          <w:rFonts w:ascii="Times New Roman" w:hAnsi="Times New Roman"/>
          <w:sz w:val="28"/>
          <w:szCs w:val="28"/>
          <w:lang w:eastAsia="ru-RU"/>
        </w:rPr>
        <w:t xml:space="preserve"> </w:t>
      </w:r>
      <w:r w:rsidRPr="00534A3B">
        <w:rPr>
          <w:rFonts w:ascii="Times New Roman" w:hAnsi="Times New Roman"/>
          <w:sz w:val="28"/>
          <w:szCs w:val="28"/>
          <w:lang w:eastAsia="ru-RU"/>
        </w:rPr>
        <w:t>рублей</w:t>
      </w:r>
      <w:r w:rsidR="00C16AB3" w:rsidRPr="00534A3B">
        <w:rPr>
          <w:rFonts w:ascii="Times New Roman" w:hAnsi="Times New Roman"/>
          <w:sz w:val="28"/>
          <w:szCs w:val="28"/>
          <w:lang w:eastAsia="ru-RU"/>
        </w:rPr>
        <w:t xml:space="preserve">. </w:t>
      </w:r>
      <w:r w:rsidR="00F56A2C" w:rsidRPr="00534A3B">
        <w:rPr>
          <w:rFonts w:ascii="Times New Roman" w:hAnsi="Times New Roman"/>
          <w:sz w:val="28"/>
          <w:szCs w:val="28"/>
          <w:lang w:eastAsia="ru-RU"/>
        </w:rPr>
        <w:t xml:space="preserve"> </w:t>
      </w:r>
    </w:p>
    <w:p w:rsidR="003E3DCA" w:rsidRPr="00B314AD" w:rsidRDefault="003E3DCA" w:rsidP="00911873">
      <w:pPr>
        <w:spacing w:after="0" w:line="240" w:lineRule="auto"/>
        <w:ind w:firstLine="720"/>
        <w:jc w:val="both"/>
        <w:rPr>
          <w:rFonts w:ascii="Times New Roman" w:hAnsi="Times New Roman"/>
          <w:b/>
          <w:sz w:val="28"/>
          <w:szCs w:val="28"/>
          <w:highlight w:val="yellow"/>
          <w:lang w:eastAsia="ru-RU"/>
        </w:rPr>
      </w:pPr>
      <w:r w:rsidRPr="00221284">
        <w:rPr>
          <w:rFonts w:ascii="Times New Roman" w:hAnsi="Times New Roman"/>
          <w:b/>
          <w:noProof/>
          <w:sz w:val="28"/>
          <w:szCs w:val="28"/>
          <w:lang w:eastAsia="ru-RU"/>
        </w:rPr>
        <w:drawing>
          <wp:inline distT="0" distB="0" distL="0" distR="0">
            <wp:extent cx="5486400" cy="3200400"/>
            <wp:effectExtent l="1905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C23E4" w:rsidRPr="004B4878" w:rsidRDefault="00B121CE" w:rsidP="00911873">
      <w:pPr>
        <w:spacing w:after="0" w:line="240" w:lineRule="auto"/>
        <w:ind w:firstLine="720"/>
        <w:jc w:val="both"/>
        <w:rPr>
          <w:rFonts w:ascii="Times New Roman" w:hAnsi="Times New Roman"/>
          <w:sz w:val="28"/>
          <w:szCs w:val="28"/>
          <w:lang w:eastAsia="ru-RU"/>
        </w:rPr>
      </w:pPr>
      <w:r w:rsidRPr="004B4878">
        <w:rPr>
          <w:rFonts w:ascii="Times New Roman" w:hAnsi="Times New Roman"/>
          <w:sz w:val="28"/>
          <w:szCs w:val="28"/>
          <w:lang w:eastAsia="ru-RU"/>
        </w:rPr>
        <w:t>С этой целью проводится работа</w:t>
      </w:r>
      <w:r w:rsidR="00F01741" w:rsidRPr="004B4878">
        <w:rPr>
          <w:rFonts w:ascii="Times New Roman" w:hAnsi="Times New Roman"/>
          <w:sz w:val="28"/>
          <w:szCs w:val="28"/>
          <w:lang w:eastAsia="ru-RU"/>
        </w:rPr>
        <w:t>, направленн</w:t>
      </w:r>
      <w:r w:rsidRPr="004B4878">
        <w:rPr>
          <w:rFonts w:ascii="Times New Roman" w:hAnsi="Times New Roman"/>
          <w:sz w:val="28"/>
          <w:szCs w:val="28"/>
          <w:lang w:eastAsia="ru-RU"/>
        </w:rPr>
        <w:t>ая</w:t>
      </w:r>
      <w:r w:rsidR="00F01741" w:rsidRPr="004B4878">
        <w:rPr>
          <w:rFonts w:ascii="Times New Roman" w:hAnsi="Times New Roman"/>
          <w:sz w:val="28"/>
          <w:szCs w:val="28"/>
          <w:lang w:eastAsia="ru-RU"/>
        </w:rPr>
        <w:t xml:space="preserve"> на создание условий для привлечения инвесторов, планирующих реализацию проектов, предусматривающих создание производственных объектов</w:t>
      </w:r>
      <w:r w:rsidRPr="004B4878">
        <w:rPr>
          <w:rFonts w:ascii="Times New Roman" w:hAnsi="Times New Roman"/>
          <w:sz w:val="28"/>
          <w:szCs w:val="28"/>
          <w:lang w:eastAsia="ru-RU"/>
        </w:rPr>
        <w:t xml:space="preserve">, </w:t>
      </w:r>
      <w:r w:rsidR="00F01741" w:rsidRPr="004B4878">
        <w:rPr>
          <w:rFonts w:ascii="Times New Roman" w:hAnsi="Times New Roman"/>
          <w:sz w:val="28"/>
          <w:szCs w:val="28"/>
          <w:lang w:eastAsia="ru-RU"/>
        </w:rPr>
        <w:t>организ</w:t>
      </w:r>
      <w:r w:rsidRPr="004B4878">
        <w:rPr>
          <w:rFonts w:ascii="Times New Roman" w:hAnsi="Times New Roman"/>
          <w:sz w:val="28"/>
          <w:szCs w:val="28"/>
          <w:lang w:eastAsia="ru-RU"/>
        </w:rPr>
        <w:t>уется</w:t>
      </w:r>
      <w:r w:rsidR="00F01741" w:rsidRPr="004B4878">
        <w:rPr>
          <w:rFonts w:ascii="Times New Roman" w:hAnsi="Times New Roman"/>
          <w:sz w:val="28"/>
          <w:szCs w:val="28"/>
          <w:lang w:eastAsia="ru-RU"/>
        </w:rPr>
        <w:t xml:space="preserve"> подбор площадок, отвечающих требованиям инвесторов</w:t>
      </w:r>
      <w:r w:rsidRPr="004B4878">
        <w:rPr>
          <w:rFonts w:ascii="Times New Roman" w:hAnsi="Times New Roman"/>
          <w:sz w:val="28"/>
          <w:szCs w:val="28"/>
          <w:lang w:eastAsia="ru-RU"/>
        </w:rPr>
        <w:t>.</w:t>
      </w:r>
      <w:r w:rsidR="009A026B" w:rsidRPr="004B4878">
        <w:rPr>
          <w:rFonts w:ascii="Times New Roman" w:hAnsi="Times New Roman"/>
          <w:sz w:val="28"/>
          <w:szCs w:val="28"/>
          <w:lang w:eastAsia="ru-RU"/>
        </w:rPr>
        <w:t xml:space="preserve"> </w:t>
      </w:r>
    </w:p>
    <w:p w:rsidR="00F01741" w:rsidRPr="004B4878" w:rsidRDefault="009A026B" w:rsidP="00911873">
      <w:pPr>
        <w:spacing w:after="0" w:line="240" w:lineRule="auto"/>
        <w:ind w:firstLine="720"/>
        <w:jc w:val="both"/>
        <w:rPr>
          <w:rFonts w:ascii="Times New Roman" w:hAnsi="Times New Roman"/>
          <w:sz w:val="28"/>
          <w:szCs w:val="28"/>
          <w:lang w:eastAsia="ru-RU"/>
        </w:rPr>
      </w:pPr>
      <w:r w:rsidRPr="004B4878">
        <w:rPr>
          <w:rFonts w:ascii="Times New Roman" w:hAnsi="Times New Roman"/>
          <w:sz w:val="28"/>
          <w:szCs w:val="28"/>
          <w:lang w:eastAsia="ru-RU"/>
        </w:rPr>
        <w:t>В 2015 году в муниципальном образовании утверждена дорожная карта внедрения успешных практик по обеспечению благоприятного инвестиционного климата, утвержден Порядок сопровождения инвестиционных проектов по принципу «Одного окна». На официальном сайте администрации имеется раздел «Инвестиционные предложения», где размещаются свободные инвестиционные площадки, план создания объектов инфраструктуры и другая информация для потенциальных инвесторов.</w:t>
      </w:r>
    </w:p>
    <w:p w:rsidR="00156EA8" w:rsidRPr="009E0ECE" w:rsidRDefault="00156EA8" w:rsidP="00911873">
      <w:pPr>
        <w:spacing w:after="0" w:line="240" w:lineRule="auto"/>
        <w:ind w:firstLine="720"/>
        <w:jc w:val="both"/>
        <w:rPr>
          <w:rFonts w:ascii="Times New Roman" w:hAnsi="Times New Roman"/>
          <w:sz w:val="28"/>
          <w:szCs w:val="28"/>
          <w:lang w:eastAsia="ru-RU"/>
        </w:rPr>
      </w:pPr>
      <w:r w:rsidRPr="009E0ECE">
        <w:rPr>
          <w:rFonts w:ascii="Times New Roman" w:hAnsi="Times New Roman"/>
          <w:sz w:val="28"/>
          <w:szCs w:val="28"/>
          <w:lang w:eastAsia="ru-RU"/>
        </w:rPr>
        <w:t xml:space="preserve">В муниципальном образовании ежегодно увеличивается доля </w:t>
      </w:r>
      <w:r w:rsidR="00DC7E32" w:rsidRPr="009E0ECE">
        <w:rPr>
          <w:rFonts w:ascii="Times New Roman" w:hAnsi="Times New Roman"/>
          <w:sz w:val="28"/>
          <w:szCs w:val="28"/>
          <w:lang w:eastAsia="ru-RU"/>
        </w:rPr>
        <w:t>площади земельных участков, являющихся объектами налогообложения земельным налогом в общей площади территории муниципального района</w:t>
      </w:r>
      <w:r w:rsidR="00901264" w:rsidRPr="009E0ECE">
        <w:rPr>
          <w:rFonts w:ascii="Times New Roman" w:hAnsi="Times New Roman"/>
          <w:sz w:val="28"/>
          <w:szCs w:val="28"/>
          <w:lang w:eastAsia="ru-RU"/>
        </w:rPr>
        <w:t xml:space="preserve"> (в 201</w:t>
      </w:r>
      <w:r w:rsidR="009E0ECE" w:rsidRPr="009E0ECE">
        <w:rPr>
          <w:rFonts w:ascii="Times New Roman" w:hAnsi="Times New Roman"/>
          <w:sz w:val="28"/>
          <w:szCs w:val="28"/>
          <w:lang w:eastAsia="ru-RU"/>
        </w:rPr>
        <w:t>7</w:t>
      </w:r>
      <w:r w:rsidR="00901264" w:rsidRPr="009E0ECE">
        <w:rPr>
          <w:rFonts w:ascii="Times New Roman" w:hAnsi="Times New Roman"/>
          <w:sz w:val="28"/>
          <w:szCs w:val="28"/>
          <w:lang w:eastAsia="ru-RU"/>
        </w:rPr>
        <w:t xml:space="preserve"> году – </w:t>
      </w:r>
      <w:r w:rsidR="008B3137" w:rsidRPr="009E0ECE">
        <w:rPr>
          <w:rFonts w:ascii="Times New Roman" w:hAnsi="Times New Roman"/>
          <w:sz w:val="28"/>
          <w:szCs w:val="28"/>
          <w:lang w:eastAsia="ru-RU"/>
        </w:rPr>
        <w:t>8</w:t>
      </w:r>
      <w:r w:rsidR="009E0ECE" w:rsidRPr="009E0ECE">
        <w:rPr>
          <w:rFonts w:ascii="Times New Roman" w:hAnsi="Times New Roman"/>
          <w:sz w:val="28"/>
          <w:szCs w:val="28"/>
          <w:lang w:eastAsia="ru-RU"/>
        </w:rPr>
        <w:t>8</w:t>
      </w:r>
      <w:r w:rsidR="00901264" w:rsidRPr="009E0ECE">
        <w:rPr>
          <w:rFonts w:ascii="Times New Roman" w:hAnsi="Times New Roman"/>
          <w:sz w:val="28"/>
          <w:szCs w:val="28"/>
          <w:lang w:eastAsia="ru-RU"/>
        </w:rPr>
        <w:t xml:space="preserve"> %)</w:t>
      </w:r>
      <w:r w:rsidR="00DC7E32" w:rsidRPr="009E0ECE">
        <w:rPr>
          <w:rFonts w:ascii="Times New Roman" w:hAnsi="Times New Roman"/>
          <w:sz w:val="28"/>
          <w:szCs w:val="28"/>
          <w:lang w:eastAsia="ru-RU"/>
        </w:rPr>
        <w:t xml:space="preserve">, </w:t>
      </w:r>
      <w:r w:rsidR="00AB436F" w:rsidRPr="009E0ECE">
        <w:rPr>
          <w:rFonts w:ascii="Times New Roman" w:hAnsi="Times New Roman"/>
          <w:sz w:val="28"/>
          <w:szCs w:val="28"/>
          <w:lang w:eastAsia="ru-RU"/>
        </w:rPr>
        <w:t xml:space="preserve">и, как следствие, к </w:t>
      </w:r>
      <w:r w:rsidR="009B04E8" w:rsidRPr="009E0ECE">
        <w:rPr>
          <w:rFonts w:ascii="Times New Roman" w:hAnsi="Times New Roman"/>
          <w:sz w:val="28"/>
          <w:szCs w:val="28"/>
          <w:lang w:eastAsia="ru-RU"/>
        </w:rPr>
        <w:t>увеличению</w:t>
      </w:r>
      <w:r w:rsidR="00DC7E32" w:rsidRPr="009E0ECE">
        <w:rPr>
          <w:rFonts w:ascii="Times New Roman" w:hAnsi="Times New Roman"/>
          <w:sz w:val="28"/>
          <w:szCs w:val="28"/>
          <w:lang w:eastAsia="ru-RU"/>
        </w:rPr>
        <w:t xml:space="preserve"> налоговых поступлений. </w:t>
      </w:r>
    </w:p>
    <w:p w:rsidR="001B45D3" w:rsidRPr="009E0ECE" w:rsidRDefault="001B45D3" w:rsidP="00911873">
      <w:pPr>
        <w:spacing w:after="0" w:line="240" w:lineRule="auto"/>
        <w:ind w:firstLine="720"/>
        <w:jc w:val="both"/>
        <w:rPr>
          <w:rFonts w:ascii="Times New Roman" w:hAnsi="Times New Roman"/>
          <w:sz w:val="28"/>
          <w:szCs w:val="28"/>
          <w:lang w:eastAsia="ru-RU"/>
        </w:rPr>
      </w:pPr>
    </w:p>
    <w:p w:rsidR="001B45D3" w:rsidRPr="009E0ECE" w:rsidRDefault="001B45D3" w:rsidP="00911873">
      <w:pPr>
        <w:spacing w:after="0" w:line="240" w:lineRule="auto"/>
        <w:ind w:firstLine="720"/>
        <w:jc w:val="both"/>
        <w:rPr>
          <w:rFonts w:ascii="Times New Roman" w:hAnsi="Times New Roman"/>
          <w:sz w:val="28"/>
          <w:szCs w:val="28"/>
          <w:lang w:eastAsia="ru-RU"/>
        </w:rPr>
      </w:pPr>
      <w:r w:rsidRPr="009E0ECE">
        <w:rPr>
          <w:rFonts w:ascii="Times New Roman" w:hAnsi="Times New Roman"/>
          <w:noProof/>
          <w:sz w:val="28"/>
          <w:szCs w:val="28"/>
          <w:lang w:eastAsia="ru-RU"/>
        </w:rPr>
        <w:drawing>
          <wp:inline distT="0" distB="0" distL="0" distR="0">
            <wp:extent cx="5410200" cy="32004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B45D3" w:rsidRPr="00B314AD" w:rsidRDefault="001B45D3" w:rsidP="00911873">
      <w:pPr>
        <w:autoSpaceDE w:val="0"/>
        <w:autoSpaceDN w:val="0"/>
        <w:adjustRightInd w:val="0"/>
        <w:spacing w:after="0" w:line="240" w:lineRule="auto"/>
        <w:ind w:firstLine="709"/>
        <w:jc w:val="both"/>
        <w:rPr>
          <w:rFonts w:ascii="Times New Roman" w:hAnsi="Times New Roman"/>
          <w:b/>
          <w:sz w:val="28"/>
          <w:szCs w:val="28"/>
          <w:highlight w:val="yellow"/>
          <w:u w:val="single"/>
        </w:rPr>
      </w:pPr>
    </w:p>
    <w:p w:rsidR="00C1361C" w:rsidRPr="004D1BCF" w:rsidRDefault="00C1361C" w:rsidP="002B5D44">
      <w:pPr>
        <w:autoSpaceDE w:val="0"/>
        <w:autoSpaceDN w:val="0"/>
        <w:adjustRightInd w:val="0"/>
        <w:spacing w:after="0" w:line="240" w:lineRule="auto"/>
        <w:ind w:firstLine="709"/>
        <w:jc w:val="both"/>
        <w:rPr>
          <w:rFonts w:ascii="Times New Roman" w:hAnsi="Times New Roman"/>
          <w:b/>
          <w:sz w:val="28"/>
          <w:szCs w:val="28"/>
          <w:u w:val="single"/>
        </w:rPr>
      </w:pPr>
      <w:r w:rsidRPr="004D1BCF">
        <w:rPr>
          <w:rFonts w:ascii="Times New Roman" w:hAnsi="Times New Roman"/>
          <w:b/>
          <w:sz w:val="28"/>
          <w:szCs w:val="28"/>
          <w:u w:val="single"/>
        </w:rPr>
        <w:t>Сельское хозяйство</w:t>
      </w:r>
    </w:p>
    <w:p w:rsidR="002B5D44" w:rsidRPr="00C66AE3" w:rsidRDefault="002B5D44" w:rsidP="0037087D">
      <w:pPr>
        <w:spacing w:after="0" w:line="240" w:lineRule="auto"/>
        <w:ind w:firstLine="709"/>
        <w:jc w:val="both"/>
        <w:rPr>
          <w:rFonts w:ascii="Times New Roman" w:hAnsi="Times New Roman"/>
          <w:sz w:val="28"/>
          <w:szCs w:val="28"/>
        </w:rPr>
      </w:pPr>
      <w:proofErr w:type="gramStart"/>
      <w:r w:rsidRPr="00A55AAF">
        <w:rPr>
          <w:rFonts w:ascii="Times New Roman" w:hAnsi="Times New Roman"/>
          <w:bCs/>
          <w:sz w:val="28"/>
          <w:szCs w:val="28"/>
        </w:rPr>
        <w:t>Производством сельскохозяйственной продукции в районе заняты 1</w:t>
      </w:r>
      <w:r w:rsidR="00A55AAF" w:rsidRPr="00A55AAF">
        <w:rPr>
          <w:rFonts w:ascii="Times New Roman" w:hAnsi="Times New Roman"/>
          <w:bCs/>
          <w:sz w:val="28"/>
          <w:szCs w:val="28"/>
        </w:rPr>
        <w:t>2</w:t>
      </w:r>
      <w:r w:rsidRPr="00A55AAF">
        <w:rPr>
          <w:rFonts w:ascii="Times New Roman" w:hAnsi="Times New Roman"/>
          <w:bCs/>
          <w:sz w:val="28"/>
          <w:szCs w:val="28"/>
        </w:rPr>
        <w:t xml:space="preserve"> сельскохозяйственных организаций, 3</w:t>
      </w:r>
      <w:r w:rsidR="00A55AAF" w:rsidRPr="00A55AAF">
        <w:rPr>
          <w:rFonts w:ascii="Times New Roman" w:hAnsi="Times New Roman"/>
          <w:bCs/>
          <w:sz w:val="28"/>
          <w:szCs w:val="28"/>
        </w:rPr>
        <w:t>4</w:t>
      </w:r>
      <w:r w:rsidRPr="00A55AAF">
        <w:rPr>
          <w:rFonts w:ascii="Times New Roman" w:hAnsi="Times New Roman"/>
          <w:bCs/>
          <w:sz w:val="28"/>
          <w:szCs w:val="28"/>
        </w:rPr>
        <w:t xml:space="preserve"> КФХ и </w:t>
      </w:r>
      <w:r w:rsidR="00A55AAF" w:rsidRPr="00A55AAF">
        <w:rPr>
          <w:rFonts w:ascii="Times New Roman" w:hAnsi="Times New Roman"/>
          <w:bCs/>
          <w:sz w:val="28"/>
          <w:szCs w:val="28"/>
        </w:rPr>
        <w:t>5400</w:t>
      </w:r>
      <w:r w:rsidRPr="00A55AAF">
        <w:rPr>
          <w:rFonts w:ascii="Times New Roman" w:hAnsi="Times New Roman"/>
          <w:bCs/>
          <w:sz w:val="28"/>
          <w:szCs w:val="28"/>
        </w:rPr>
        <w:t xml:space="preserve"> ЛПХ</w:t>
      </w:r>
      <w:r w:rsidRPr="00C66AE3">
        <w:rPr>
          <w:rFonts w:ascii="Times New Roman" w:hAnsi="Times New Roman"/>
          <w:bCs/>
          <w:sz w:val="28"/>
          <w:szCs w:val="28"/>
        </w:rPr>
        <w:t>.</w:t>
      </w:r>
      <w:proofErr w:type="gramEnd"/>
      <w:r w:rsidRPr="00C66AE3">
        <w:rPr>
          <w:rFonts w:ascii="Times New Roman" w:hAnsi="Times New Roman"/>
          <w:bCs/>
          <w:sz w:val="28"/>
          <w:szCs w:val="28"/>
        </w:rPr>
        <w:t xml:space="preserve"> </w:t>
      </w:r>
      <w:r w:rsidR="00C66AE3" w:rsidRPr="00C66AE3">
        <w:rPr>
          <w:rFonts w:ascii="Times New Roman" w:hAnsi="Times New Roman"/>
          <w:sz w:val="28"/>
          <w:szCs w:val="28"/>
        </w:rPr>
        <w:t>В общем объеме  производства сельскохозяйственной продукции 81,3 % приходится на продукцию растениеводства и 18,7 % на продукцию  животноводства.</w:t>
      </w:r>
    </w:p>
    <w:p w:rsidR="0037087D" w:rsidRDefault="002B5D44" w:rsidP="0037087D">
      <w:pPr>
        <w:spacing w:after="0" w:line="240" w:lineRule="auto"/>
        <w:ind w:firstLine="709"/>
        <w:jc w:val="both"/>
        <w:rPr>
          <w:rFonts w:ascii="Times New Roman" w:hAnsi="Times New Roman"/>
          <w:sz w:val="28"/>
          <w:szCs w:val="28"/>
        </w:rPr>
      </w:pPr>
      <w:r w:rsidRPr="00C66AE3">
        <w:rPr>
          <w:rFonts w:ascii="Times New Roman" w:hAnsi="Times New Roman"/>
          <w:sz w:val="28"/>
          <w:szCs w:val="28"/>
        </w:rPr>
        <w:t xml:space="preserve">Выручка от реализации продукции по сельскохозяйственным  организациям составляет </w:t>
      </w:r>
      <w:r w:rsidR="00CF22ED" w:rsidRPr="00C66AE3">
        <w:rPr>
          <w:rFonts w:ascii="Times New Roman" w:hAnsi="Times New Roman"/>
          <w:sz w:val="28"/>
          <w:szCs w:val="28"/>
        </w:rPr>
        <w:t>1172,5 тыс</w:t>
      </w:r>
      <w:r w:rsidRPr="00C66AE3">
        <w:rPr>
          <w:rFonts w:ascii="Times New Roman" w:hAnsi="Times New Roman"/>
          <w:sz w:val="28"/>
          <w:szCs w:val="28"/>
        </w:rPr>
        <w:t>. рублей (</w:t>
      </w:r>
      <w:r w:rsidR="00CF22ED" w:rsidRPr="00C66AE3">
        <w:rPr>
          <w:rFonts w:ascii="Times New Roman" w:hAnsi="Times New Roman"/>
          <w:sz w:val="28"/>
          <w:szCs w:val="28"/>
        </w:rPr>
        <w:t>136,8</w:t>
      </w:r>
      <w:r w:rsidRPr="00C66AE3">
        <w:rPr>
          <w:rFonts w:ascii="Times New Roman" w:hAnsi="Times New Roman"/>
          <w:sz w:val="28"/>
          <w:szCs w:val="28"/>
        </w:rPr>
        <w:t xml:space="preserve"> % к уровню 201</w:t>
      </w:r>
      <w:r w:rsidR="00CF22ED" w:rsidRPr="00C66AE3">
        <w:rPr>
          <w:rFonts w:ascii="Times New Roman" w:hAnsi="Times New Roman"/>
          <w:sz w:val="28"/>
          <w:szCs w:val="28"/>
        </w:rPr>
        <w:t>6</w:t>
      </w:r>
      <w:r w:rsidRPr="00C66AE3">
        <w:rPr>
          <w:rFonts w:ascii="Times New Roman" w:hAnsi="Times New Roman"/>
          <w:sz w:val="28"/>
          <w:szCs w:val="28"/>
        </w:rPr>
        <w:t xml:space="preserve"> года</w:t>
      </w:r>
      <w:r w:rsidR="00CF22ED" w:rsidRPr="00C66AE3">
        <w:rPr>
          <w:rFonts w:ascii="Times New Roman" w:hAnsi="Times New Roman"/>
          <w:sz w:val="28"/>
          <w:szCs w:val="28"/>
        </w:rPr>
        <w:t>).</w:t>
      </w:r>
    </w:p>
    <w:p w:rsidR="0037087D" w:rsidRDefault="00C66AE3" w:rsidP="0037087D">
      <w:pPr>
        <w:spacing w:after="0" w:line="240" w:lineRule="auto"/>
        <w:ind w:firstLine="709"/>
        <w:jc w:val="both"/>
        <w:rPr>
          <w:rFonts w:ascii="Times New Roman" w:hAnsi="Times New Roman"/>
          <w:sz w:val="28"/>
          <w:szCs w:val="28"/>
        </w:rPr>
      </w:pPr>
      <w:r w:rsidRPr="00C66AE3">
        <w:rPr>
          <w:rFonts w:ascii="Times New Roman" w:hAnsi="Times New Roman"/>
          <w:sz w:val="28"/>
          <w:szCs w:val="28"/>
        </w:rPr>
        <w:t>Среднемесячная за</w:t>
      </w:r>
      <w:r w:rsidR="0037087D">
        <w:rPr>
          <w:rFonts w:ascii="Times New Roman" w:hAnsi="Times New Roman"/>
          <w:sz w:val="28"/>
          <w:szCs w:val="28"/>
        </w:rPr>
        <w:t xml:space="preserve">рплата на одного работающего по </w:t>
      </w:r>
      <w:r w:rsidRPr="00C66AE3">
        <w:rPr>
          <w:rFonts w:ascii="Times New Roman" w:hAnsi="Times New Roman"/>
          <w:sz w:val="28"/>
          <w:szCs w:val="28"/>
        </w:rPr>
        <w:t>сельскохозяйственным организациям  составила</w:t>
      </w:r>
      <w:r>
        <w:rPr>
          <w:rFonts w:ascii="Times New Roman" w:hAnsi="Times New Roman"/>
          <w:sz w:val="28"/>
          <w:szCs w:val="28"/>
        </w:rPr>
        <w:t xml:space="preserve">  </w:t>
      </w:r>
      <w:r w:rsidR="0037087D">
        <w:rPr>
          <w:rFonts w:ascii="Times New Roman" w:hAnsi="Times New Roman"/>
          <w:sz w:val="28"/>
          <w:szCs w:val="28"/>
        </w:rPr>
        <w:t>25750,0  рублей (</w:t>
      </w:r>
      <w:r w:rsidRPr="00C66AE3">
        <w:rPr>
          <w:rFonts w:ascii="Times New Roman" w:hAnsi="Times New Roman"/>
          <w:sz w:val="28"/>
          <w:szCs w:val="28"/>
        </w:rPr>
        <w:t xml:space="preserve">темп роста </w:t>
      </w:r>
      <w:r>
        <w:rPr>
          <w:rFonts w:ascii="Times New Roman" w:hAnsi="Times New Roman"/>
          <w:sz w:val="28"/>
          <w:szCs w:val="28"/>
        </w:rPr>
        <w:t>108,</w:t>
      </w:r>
      <w:r w:rsidRPr="00C66AE3">
        <w:rPr>
          <w:rFonts w:ascii="Times New Roman" w:hAnsi="Times New Roman"/>
          <w:sz w:val="28"/>
          <w:szCs w:val="28"/>
        </w:rPr>
        <w:t>3% к прошлому году).</w:t>
      </w:r>
    </w:p>
    <w:p w:rsidR="00B0336C" w:rsidRPr="000025E8" w:rsidRDefault="00B0336C" w:rsidP="0037087D">
      <w:pPr>
        <w:spacing w:after="0" w:line="240" w:lineRule="auto"/>
        <w:ind w:firstLine="709"/>
        <w:jc w:val="both"/>
        <w:rPr>
          <w:rFonts w:ascii="Times New Roman" w:hAnsi="Times New Roman"/>
          <w:sz w:val="28"/>
          <w:szCs w:val="28"/>
        </w:rPr>
      </w:pPr>
      <w:proofErr w:type="gramStart"/>
      <w:r w:rsidRPr="000025E8">
        <w:rPr>
          <w:rFonts w:ascii="Times New Roman" w:hAnsi="Times New Roman"/>
          <w:sz w:val="28"/>
          <w:szCs w:val="28"/>
        </w:rPr>
        <w:t>Сельскохозяйственным товаропроизводителям в 201</w:t>
      </w:r>
      <w:r w:rsidR="000025E8" w:rsidRPr="000025E8">
        <w:rPr>
          <w:rFonts w:ascii="Times New Roman" w:hAnsi="Times New Roman"/>
          <w:sz w:val="28"/>
          <w:szCs w:val="28"/>
        </w:rPr>
        <w:t>7</w:t>
      </w:r>
      <w:r w:rsidRPr="000025E8">
        <w:rPr>
          <w:rFonts w:ascii="Times New Roman" w:hAnsi="Times New Roman"/>
          <w:sz w:val="28"/>
          <w:szCs w:val="28"/>
        </w:rPr>
        <w:t xml:space="preserve"> году оказана государственная поддержка в сумме </w:t>
      </w:r>
      <w:r w:rsidR="000025E8" w:rsidRPr="000025E8">
        <w:rPr>
          <w:rFonts w:ascii="Times New Roman" w:hAnsi="Times New Roman"/>
          <w:sz w:val="28"/>
          <w:szCs w:val="28"/>
        </w:rPr>
        <w:t>60,7</w:t>
      </w:r>
      <w:r w:rsidRPr="000025E8">
        <w:rPr>
          <w:rFonts w:ascii="Times New Roman" w:hAnsi="Times New Roman"/>
          <w:sz w:val="28"/>
          <w:szCs w:val="28"/>
        </w:rPr>
        <w:t xml:space="preserve"> млн. руб., в том числе из средств федерального бюджета </w:t>
      </w:r>
      <w:r w:rsidR="000025E8" w:rsidRPr="000025E8">
        <w:rPr>
          <w:rFonts w:ascii="Times New Roman" w:hAnsi="Times New Roman"/>
          <w:sz w:val="28"/>
          <w:szCs w:val="28"/>
        </w:rPr>
        <w:t>54,3</w:t>
      </w:r>
      <w:r w:rsidRPr="000025E8">
        <w:rPr>
          <w:rFonts w:ascii="Times New Roman" w:hAnsi="Times New Roman"/>
          <w:sz w:val="28"/>
          <w:szCs w:val="28"/>
        </w:rPr>
        <w:t xml:space="preserve"> млн. руб., областного бюджета – </w:t>
      </w:r>
      <w:r w:rsidR="000025E8" w:rsidRPr="000025E8">
        <w:rPr>
          <w:rFonts w:ascii="Times New Roman" w:hAnsi="Times New Roman"/>
          <w:sz w:val="28"/>
          <w:szCs w:val="28"/>
        </w:rPr>
        <w:t>6,4</w:t>
      </w:r>
      <w:r w:rsidRPr="000025E8">
        <w:rPr>
          <w:rFonts w:ascii="Times New Roman" w:hAnsi="Times New Roman"/>
          <w:sz w:val="28"/>
          <w:szCs w:val="28"/>
        </w:rPr>
        <w:t xml:space="preserve"> млн. руб.</w:t>
      </w:r>
      <w:r w:rsidR="00A63EB5" w:rsidRPr="000025E8">
        <w:rPr>
          <w:rFonts w:ascii="Times New Roman" w:hAnsi="Times New Roman"/>
          <w:sz w:val="28"/>
          <w:szCs w:val="28"/>
        </w:rPr>
        <w:t>, которые были направлены на возмещение части затрат на оплату процентов по кредитам, на оказание погектарной поддержки в области растениеводства, на проведение мероприятий по развитию отрасли животноводства.</w:t>
      </w:r>
      <w:proofErr w:type="gramEnd"/>
    </w:p>
    <w:p w:rsidR="00F01741" w:rsidRPr="00001BE5" w:rsidRDefault="00293A78" w:rsidP="0037087D">
      <w:pPr>
        <w:tabs>
          <w:tab w:val="left" w:pos="0"/>
        </w:tabs>
        <w:spacing w:after="0" w:line="240" w:lineRule="auto"/>
        <w:ind w:firstLine="720"/>
        <w:jc w:val="both"/>
        <w:rPr>
          <w:rFonts w:ascii="Times New Roman" w:hAnsi="Times New Roman"/>
          <w:color w:val="000000"/>
          <w:sz w:val="28"/>
          <w:szCs w:val="28"/>
          <w:lang w:eastAsia="ru-RU"/>
        </w:rPr>
      </w:pPr>
      <w:r w:rsidRPr="008D69B0">
        <w:rPr>
          <w:rFonts w:ascii="Times New Roman" w:hAnsi="Times New Roman"/>
          <w:color w:val="000000"/>
          <w:sz w:val="28"/>
          <w:szCs w:val="28"/>
          <w:lang w:eastAsia="ru-RU"/>
        </w:rPr>
        <w:t>Удельный вес прибыльных сельскохозяйственных организаций в целом по району в 201</w:t>
      </w:r>
      <w:r w:rsidR="008C3970" w:rsidRPr="008D69B0">
        <w:rPr>
          <w:rFonts w:ascii="Times New Roman" w:hAnsi="Times New Roman"/>
          <w:color w:val="000000"/>
          <w:sz w:val="28"/>
          <w:szCs w:val="28"/>
          <w:lang w:eastAsia="ru-RU"/>
        </w:rPr>
        <w:t>7</w:t>
      </w:r>
      <w:r w:rsidRPr="008D69B0">
        <w:rPr>
          <w:rFonts w:ascii="Times New Roman" w:hAnsi="Times New Roman"/>
          <w:color w:val="000000"/>
          <w:sz w:val="28"/>
          <w:szCs w:val="28"/>
          <w:lang w:eastAsia="ru-RU"/>
        </w:rPr>
        <w:t xml:space="preserve"> году со</w:t>
      </w:r>
      <w:r w:rsidR="009576D4" w:rsidRPr="008D69B0">
        <w:rPr>
          <w:rFonts w:ascii="Times New Roman" w:hAnsi="Times New Roman"/>
          <w:color w:val="000000"/>
          <w:sz w:val="28"/>
          <w:szCs w:val="28"/>
          <w:lang w:eastAsia="ru-RU"/>
        </w:rPr>
        <w:t>ставил</w:t>
      </w:r>
      <w:r w:rsidRPr="008D69B0">
        <w:rPr>
          <w:rFonts w:ascii="Times New Roman" w:hAnsi="Times New Roman"/>
          <w:color w:val="000000"/>
          <w:sz w:val="28"/>
          <w:szCs w:val="28"/>
          <w:lang w:eastAsia="ru-RU"/>
        </w:rPr>
        <w:t xml:space="preserve"> </w:t>
      </w:r>
      <w:r w:rsidR="008C3970" w:rsidRPr="008D69B0">
        <w:rPr>
          <w:rFonts w:ascii="Times New Roman" w:hAnsi="Times New Roman"/>
          <w:color w:val="000000"/>
          <w:sz w:val="28"/>
          <w:szCs w:val="28"/>
          <w:lang w:eastAsia="ru-RU"/>
        </w:rPr>
        <w:t>88,9</w:t>
      </w:r>
      <w:r w:rsidRPr="008D69B0">
        <w:rPr>
          <w:rFonts w:ascii="Times New Roman" w:hAnsi="Times New Roman"/>
          <w:color w:val="000000"/>
          <w:sz w:val="28"/>
          <w:szCs w:val="28"/>
          <w:lang w:eastAsia="ru-RU"/>
        </w:rPr>
        <w:t xml:space="preserve"> процент</w:t>
      </w:r>
      <w:r w:rsidR="00156811" w:rsidRPr="008D69B0">
        <w:rPr>
          <w:rFonts w:ascii="Times New Roman" w:hAnsi="Times New Roman"/>
          <w:color w:val="000000"/>
          <w:sz w:val="28"/>
          <w:szCs w:val="28"/>
          <w:lang w:eastAsia="ru-RU"/>
        </w:rPr>
        <w:t>ов</w:t>
      </w:r>
      <w:r w:rsidRPr="008D69B0">
        <w:rPr>
          <w:rFonts w:ascii="Times New Roman" w:hAnsi="Times New Roman"/>
          <w:color w:val="000000"/>
          <w:sz w:val="28"/>
          <w:szCs w:val="28"/>
          <w:lang w:eastAsia="ru-RU"/>
        </w:rPr>
        <w:t>, к 20</w:t>
      </w:r>
      <w:r w:rsidR="008C3970" w:rsidRPr="008D69B0">
        <w:rPr>
          <w:rFonts w:ascii="Times New Roman" w:hAnsi="Times New Roman"/>
          <w:color w:val="000000"/>
          <w:sz w:val="28"/>
          <w:szCs w:val="28"/>
          <w:lang w:eastAsia="ru-RU"/>
        </w:rPr>
        <w:t>20</w:t>
      </w:r>
      <w:r w:rsidRPr="008D69B0">
        <w:rPr>
          <w:rFonts w:ascii="Times New Roman" w:hAnsi="Times New Roman"/>
          <w:color w:val="000000"/>
          <w:sz w:val="28"/>
          <w:szCs w:val="28"/>
          <w:lang w:eastAsia="ru-RU"/>
        </w:rPr>
        <w:t xml:space="preserve"> году</w:t>
      </w:r>
      <w:r w:rsidR="008D0579" w:rsidRPr="008D69B0">
        <w:rPr>
          <w:rFonts w:ascii="Times New Roman" w:hAnsi="Times New Roman"/>
          <w:color w:val="000000"/>
          <w:sz w:val="28"/>
          <w:szCs w:val="28"/>
          <w:lang w:eastAsia="ru-RU"/>
        </w:rPr>
        <w:t xml:space="preserve"> планируется </w:t>
      </w:r>
      <w:r w:rsidR="008D0579" w:rsidRPr="00001BE5">
        <w:rPr>
          <w:rFonts w:ascii="Times New Roman" w:hAnsi="Times New Roman"/>
          <w:color w:val="000000"/>
          <w:sz w:val="28"/>
          <w:szCs w:val="28"/>
          <w:lang w:eastAsia="ru-RU"/>
        </w:rPr>
        <w:t>довести</w:t>
      </w:r>
      <w:r w:rsidRPr="00001BE5">
        <w:rPr>
          <w:rFonts w:ascii="Times New Roman" w:hAnsi="Times New Roman"/>
          <w:color w:val="000000"/>
          <w:sz w:val="28"/>
          <w:szCs w:val="28"/>
          <w:lang w:eastAsia="ru-RU"/>
        </w:rPr>
        <w:t xml:space="preserve"> данный показатель </w:t>
      </w:r>
      <w:r w:rsidR="008D0579" w:rsidRPr="00001BE5">
        <w:rPr>
          <w:rFonts w:ascii="Times New Roman" w:hAnsi="Times New Roman"/>
          <w:color w:val="000000"/>
          <w:sz w:val="28"/>
          <w:szCs w:val="28"/>
          <w:lang w:eastAsia="ru-RU"/>
        </w:rPr>
        <w:t>до</w:t>
      </w:r>
      <w:r w:rsidRPr="00001BE5">
        <w:rPr>
          <w:rFonts w:ascii="Times New Roman" w:hAnsi="Times New Roman"/>
          <w:color w:val="000000"/>
          <w:sz w:val="28"/>
          <w:szCs w:val="28"/>
          <w:lang w:eastAsia="ru-RU"/>
        </w:rPr>
        <w:t xml:space="preserve"> уровн</w:t>
      </w:r>
      <w:r w:rsidR="008D0579" w:rsidRPr="00001BE5">
        <w:rPr>
          <w:rFonts w:ascii="Times New Roman" w:hAnsi="Times New Roman"/>
          <w:color w:val="000000"/>
          <w:sz w:val="28"/>
          <w:szCs w:val="28"/>
          <w:lang w:eastAsia="ru-RU"/>
        </w:rPr>
        <w:t>я</w:t>
      </w:r>
      <w:r w:rsidRPr="00001BE5">
        <w:rPr>
          <w:rFonts w:ascii="Times New Roman" w:hAnsi="Times New Roman"/>
          <w:color w:val="000000"/>
          <w:sz w:val="28"/>
          <w:szCs w:val="28"/>
          <w:lang w:eastAsia="ru-RU"/>
        </w:rPr>
        <w:t xml:space="preserve"> </w:t>
      </w:r>
      <w:r w:rsidR="008C3970" w:rsidRPr="00001BE5">
        <w:rPr>
          <w:rFonts w:ascii="Times New Roman" w:hAnsi="Times New Roman"/>
          <w:color w:val="000000"/>
          <w:sz w:val="28"/>
          <w:szCs w:val="28"/>
          <w:lang w:eastAsia="ru-RU"/>
        </w:rPr>
        <w:t>94,0</w:t>
      </w:r>
      <w:r w:rsidRPr="00001BE5">
        <w:rPr>
          <w:rFonts w:ascii="Times New Roman" w:hAnsi="Times New Roman"/>
          <w:color w:val="000000"/>
          <w:sz w:val="28"/>
          <w:szCs w:val="28"/>
          <w:lang w:eastAsia="ru-RU"/>
        </w:rPr>
        <w:t xml:space="preserve"> процентов. </w:t>
      </w:r>
    </w:p>
    <w:p w:rsidR="00757872" w:rsidRPr="00001BE5" w:rsidRDefault="00757872" w:rsidP="00911873">
      <w:pPr>
        <w:spacing w:after="0" w:line="240" w:lineRule="auto"/>
        <w:ind w:firstLine="720"/>
        <w:jc w:val="both"/>
        <w:rPr>
          <w:rFonts w:ascii="Times New Roman" w:hAnsi="Times New Roman"/>
          <w:sz w:val="28"/>
          <w:szCs w:val="28"/>
          <w:lang w:eastAsia="ru-RU"/>
        </w:rPr>
      </w:pPr>
      <w:r w:rsidRPr="00001BE5">
        <w:rPr>
          <w:rFonts w:ascii="Times New Roman" w:hAnsi="Times New Roman"/>
          <w:noProof/>
          <w:sz w:val="28"/>
          <w:szCs w:val="28"/>
          <w:lang w:eastAsia="ru-RU"/>
        </w:rPr>
        <w:lastRenderedPageBreak/>
        <w:drawing>
          <wp:inline distT="0" distB="0" distL="0" distR="0">
            <wp:extent cx="5486400" cy="3200400"/>
            <wp:effectExtent l="1905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307EC" w:rsidRPr="00001BE5" w:rsidRDefault="00D307EC" w:rsidP="00911873">
      <w:pPr>
        <w:spacing w:after="0" w:line="240" w:lineRule="auto"/>
        <w:ind w:firstLine="720"/>
        <w:jc w:val="both"/>
        <w:rPr>
          <w:rFonts w:ascii="Times New Roman" w:hAnsi="Times New Roman"/>
          <w:b/>
          <w:sz w:val="28"/>
          <w:szCs w:val="28"/>
          <w:u w:val="single"/>
          <w:lang w:eastAsia="ru-RU"/>
        </w:rPr>
      </w:pPr>
      <w:r w:rsidRPr="00001BE5">
        <w:rPr>
          <w:rFonts w:ascii="Times New Roman" w:hAnsi="Times New Roman"/>
          <w:b/>
          <w:color w:val="000000"/>
          <w:sz w:val="28"/>
          <w:szCs w:val="28"/>
          <w:u w:val="single"/>
          <w:lang w:eastAsia="ru-RU"/>
        </w:rPr>
        <w:t>Дорожное хозяйство и транспорт.</w:t>
      </w:r>
    </w:p>
    <w:p w:rsidR="00AD73E5" w:rsidRPr="009024E7" w:rsidRDefault="00AD73E5" w:rsidP="00911873">
      <w:pPr>
        <w:spacing w:after="0" w:line="240" w:lineRule="auto"/>
        <w:ind w:firstLine="720"/>
        <w:jc w:val="both"/>
        <w:rPr>
          <w:rFonts w:ascii="Times New Roman" w:hAnsi="Times New Roman"/>
          <w:sz w:val="28"/>
          <w:szCs w:val="28"/>
          <w:lang w:eastAsia="ru-RU"/>
        </w:rPr>
      </w:pPr>
      <w:r w:rsidRPr="009024E7">
        <w:rPr>
          <w:rFonts w:ascii="Times New Roman" w:hAnsi="Times New Roman"/>
          <w:sz w:val="28"/>
          <w:szCs w:val="28"/>
          <w:lang w:eastAsia="ru-RU"/>
        </w:rPr>
        <w:t>Наличие благоустроенной сети дорог в настоящее время является важнейшим условием обеспечения экономического развития</w:t>
      </w:r>
      <w:r w:rsidR="00D032A5" w:rsidRPr="009024E7">
        <w:rPr>
          <w:rFonts w:ascii="Times New Roman" w:hAnsi="Times New Roman"/>
          <w:sz w:val="28"/>
          <w:szCs w:val="28"/>
          <w:lang w:eastAsia="ru-RU"/>
        </w:rPr>
        <w:t xml:space="preserve"> района</w:t>
      </w:r>
      <w:r w:rsidRPr="009024E7">
        <w:rPr>
          <w:rFonts w:ascii="Times New Roman" w:hAnsi="Times New Roman"/>
          <w:sz w:val="28"/>
          <w:szCs w:val="28"/>
          <w:lang w:eastAsia="ru-RU"/>
        </w:rPr>
        <w:t>. Плохое состояние, а порой даже отсутствие дорог является одним из важнейших барьеров для экономического р</w:t>
      </w:r>
      <w:r w:rsidR="007641DB" w:rsidRPr="009024E7">
        <w:rPr>
          <w:rFonts w:ascii="Times New Roman" w:hAnsi="Times New Roman"/>
          <w:sz w:val="28"/>
          <w:szCs w:val="28"/>
          <w:lang w:eastAsia="ru-RU"/>
        </w:rPr>
        <w:t>оста</w:t>
      </w:r>
      <w:r w:rsidR="00890D7C" w:rsidRPr="009024E7">
        <w:rPr>
          <w:rFonts w:ascii="Times New Roman" w:hAnsi="Times New Roman"/>
          <w:sz w:val="28"/>
          <w:szCs w:val="28"/>
          <w:lang w:eastAsia="ru-RU"/>
        </w:rPr>
        <w:t xml:space="preserve"> муниципального образования</w:t>
      </w:r>
      <w:r w:rsidRPr="009024E7">
        <w:rPr>
          <w:rFonts w:ascii="Times New Roman" w:hAnsi="Times New Roman"/>
          <w:sz w:val="28"/>
          <w:szCs w:val="28"/>
          <w:lang w:eastAsia="ru-RU"/>
        </w:rPr>
        <w:t>.</w:t>
      </w:r>
    </w:p>
    <w:p w:rsidR="00955376" w:rsidRPr="009024E7" w:rsidRDefault="00955376" w:rsidP="00911873">
      <w:pPr>
        <w:spacing w:after="0" w:line="240" w:lineRule="auto"/>
        <w:ind w:firstLine="709"/>
        <w:jc w:val="both"/>
        <w:rPr>
          <w:rFonts w:ascii="Times New Roman" w:hAnsi="Times New Roman"/>
          <w:sz w:val="28"/>
          <w:szCs w:val="28"/>
          <w:lang w:eastAsia="ru-RU"/>
        </w:rPr>
      </w:pPr>
      <w:r w:rsidRPr="009024E7">
        <w:rPr>
          <w:rFonts w:ascii="Times New Roman" w:hAnsi="Times New Roman"/>
          <w:sz w:val="28"/>
          <w:szCs w:val="28"/>
          <w:lang w:eastAsia="ru-RU"/>
        </w:rPr>
        <w:t>В связи с ростом интенсивности движения автотранспортных средств по автомобильным дорогам общего пользования, увеличением процента большегрузных автомобилей, в ряде случаев транспортно-эксплуатационное и техническое состояние автомобильных дорог, а также транзитных проездов по населенным пунктам не соответствует допустимому состоянию по условиям обеспечения безопасности дорожного движения.</w:t>
      </w:r>
    </w:p>
    <w:p w:rsidR="009024E7" w:rsidRDefault="004773F9" w:rsidP="009024E7">
      <w:pPr>
        <w:spacing w:after="0" w:line="240" w:lineRule="auto"/>
        <w:ind w:firstLine="709"/>
        <w:jc w:val="both"/>
        <w:rPr>
          <w:rFonts w:ascii="Times New Roman" w:hAnsi="Times New Roman"/>
          <w:sz w:val="28"/>
          <w:szCs w:val="28"/>
          <w:lang w:eastAsia="ru-RU"/>
        </w:rPr>
      </w:pPr>
      <w:r w:rsidRPr="009024E7">
        <w:rPr>
          <w:rFonts w:ascii="Times New Roman" w:hAnsi="Times New Roman"/>
          <w:sz w:val="28"/>
          <w:szCs w:val="28"/>
          <w:lang w:eastAsia="ru-RU"/>
        </w:rPr>
        <w:t>В районе ведется работа по регистрации права муниципальной собственности по автомобильным дорогам, не имеющим свидетельства о государственной регистрации права.</w:t>
      </w:r>
    </w:p>
    <w:p w:rsidR="00955376" w:rsidRPr="009024E7" w:rsidRDefault="00955376" w:rsidP="009024E7">
      <w:pPr>
        <w:spacing w:after="0" w:line="240" w:lineRule="auto"/>
        <w:ind w:firstLine="709"/>
        <w:jc w:val="both"/>
        <w:rPr>
          <w:rFonts w:ascii="Times New Roman" w:hAnsi="Times New Roman"/>
          <w:sz w:val="28"/>
          <w:szCs w:val="28"/>
          <w:lang w:eastAsia="ru-RU"/>
        </w:rPr>
      </w:pPr>
      <w:proofErr w:type="gramStart"/>
      <w:r w:rsidRPr="009024E7">
        <w:rPr>
          <w:rFonts w:ascii="Times New Roman" w:hAnsi="Times New Roman"/>
          <w:sz w:val="28"/>
          <w:szCs w:val="28"/>
          <w:lang w:eastAsia="ru-RU"/>
        </w:rPr>
        <w:t>В 201</w:t>
      </w:r>
      <w:r w:rsidR="009024E7" w:rsidRPr="009024E7">
        <w:rPr>
          <w:rFonts w:ascii="Times New Roman" w:hAnsi="Times New Roman"/>
          <w:sz w:val="28"/>
          <w:szCs w:val="28"/>
          <w:lang w:eastAsia="ru-RU"/>
        </w:rPr>
        <w:t>7</w:t>
      </w:r>
      <w:r w:rsidRPr="009024E7">
        <w:rPr>
          <w:rFonts w:ascii="Times New Roman" w:hAnsi="Times New Roman"/>
          <w:sz w:val="28"/>
          <w:szCs w:val="28"/>
          <w:lang w:eastAsia="ru-RU"/>
        </w:rPr>
        <w:t xml:space="preserve"> году с целью совершенствования и сохранности сети автодорог общего пользования, повышения безопасности дорожного движения реализовывалась муниципальная программа </w:t>
      </w:r>
      <w:r w:rsidRPr="009024E7">
        <w:rPr>
          <w:sz w:val="28"/>
          <w:szCs w:val="28"/>
        </w:rPr>
        <w:t xml:space="preserve"> </w:t>
      </w:r>
      <w:r w:rsidR="009024E7" w:rsidRPr="009024E7">
        <w:rPr>
          <w:rFonts w:ascii="Times New Roman" w:hAnsi="Times New Roman"/>
          <w:sz w:val="28"/>
          <w:szCs w:val="28"/>
        </w:rPr>
        <w:t>«Модернизация и развитие автомобильных дорог общего пользования местного значения и повышение безопасности дорожного движения на территории муниципального образования Кимовский район на 2016 – 2021 годы»</w:t>
      </w:r>
      <w:r w:rsidRPr="009024E7">
        <w:rPr>
          <w:rFonts w:ascii="Times New Roman" w:hAnsi="Times New Roman"/>
          <w:sz w:val="28"/>
          <w:szCs w:val="28"/>
        </w:rPr>
        <w:t xml:space="preserve">, утвержденная постановлением </w:t>
      </w:r>
      <w:r w:rsidR="007474B3" w:rsidRPr="009024E7">
        <w:rPr>
          <w:rFonts w:ascii="Times New Roman" w:hAnsi="Times New Roman"/>
          <w:sz w:val="28"/>
          <w:szCs w:val="28"/>
        </w:rPr>
        <w:t>администрации муниципального образования Кимовский район</w:t>
      </w:r>
      <w:r w:rsidRPr="009024E7">
        <w:rPr>
          <w:rFonts w:ascii="Times New Roman" w:hAnsi="Times New Roman"/>
          <w:sz w:val="28"/>
          <w:szCs w:val="28"/>
        </w:rPr>
        <w:t xml:space="preserve"> </w:t>
      </w:r>
      <w:r w:rsidR="009024E7" w:rsidRPr="009024E7">
        <w:rPr>
          <w:rFonts w:ascii="Times New Roman" w:hAnsi="Times New Roman"/>
          <w:sz w:val="28"/>
          <w:szCs w:val="28"/>
        </w:rPr>
        <w:t>от 30.12.2016 №</w:t>
      </w:r>
      <w:r w:rsidR="00EF309B">
        <w:rPr>
          <w:rFonts w:ascii="Times New Roman" w:hAnsi="Times New Roman"/>
          <w:sz w:val="28"/>
          <w:szCs w:val="28"/>
        </w:rPr>
        <w:t xml:space="preserve"> </w:t>
      </w:r>
      <w:r w:rsidR="009024E7" w:rsidRPr="009024E7">
        <w:rPr>
          <w:rFonts w:ascii="Times New Roman" w:hAnsi="Times New Roman"/>
          <w:sz w:val="28"/>
          <w:szCs w:val="28"/>
        </w:rPr>
        <w:t>2089.</w:t>
      </w:r>
      <w:proofErr w:type="gramEnd"/>
    </w:p>
    <w:p w:rsidR="005B0C1E" w:rsidRPr="00DE75BA" w:rsidRDefault="005B0C1E" w:rsidP="00911873">
      <w:pPr>
        <w:spacing w:after="0" w:line="240" w:lineRule="auto"/>
        <w:ind w:firstLine="709"/>
        <w:jc w:val="both"/>
        <w:rPr>
          <w:rFonts w:ascii="Times New Roman" w:hAnsi="Times New Roman"/>
          <w:sz w:val="28"/>
          <w:szCs w:val="28"/>
        </w:rPr>
      </w:pPr>
      <w:r w:rsidRPr="00DE75BA">
        <w:rPr>
          <w:rFonts w:ascii="Times New Roman" w:hAnsi="Times New Roman"/>
          <w:sz w:val="28"/>
          <w:szCs w:val="28"/>
        </w:rPr>
        <w:t>Реализация указанной программы позволяет обеспечить сохранность и развитие автомобильных дорог.</w:t>
      </w:r>
    </w:p>
    <w:p w:rsidR="00E92153" w:rsidRPr="00BB5AC7" w:rsidRDefault="00E92153" w:rsidP="00911873">
      <w:pPr>
        <w:spacing w:after="0" w:line="240" w:lineRule="auto"/>
        <w:ind w:firstLine="709"/>
        <w:jc w:val="both"/>
        <w:rPr>
          <w:rFonts w:ascii="Times New Roman" w:hAnsi="Times New Roman"/>
          <w:sz w:val="28"/>
          <w:szCs w:val="28"/>
        </w:rPr>
      </w:pPr>
      <w:r w:rsidRPr="00BB5AC7">
        <w:rPr>
          <w:rFonts w:ascii="Times New Roman" w:hAnsi="Times New Roman"/>
          <w:sz w:val="28"/>
          <w:szCs w:val="28"/>
        </w:rPr>
        <w:t>На территории муниципального образования Кимовский район в 201</w:t>
      </w:r>
      <w:r w:rsidR="00A16CBF" w:rsidRPr="00BB5AC7">
        <w:rPr>
          <w:rFonts w:ascii="Times New Roman" w:hAnsi="Times New Roman"/>
          <w:sz w:val="28"/>
          <w:szCs w:val="28"/>
        </w:rPr>
        <w:t>7</w:t>
      </w:r>
      <w:r w:rsidRPr="00BB5AC7">
        <w:rPr>
          <w:rFonts w:ascii="Times New Roman" w:hAnsi="Times New Roman"/>
          <w:sz w:val="28"/>
          <w:szCs w:val="28"/>
        </w:rPr>
        <w:t xml:space="preserve"> год</w:t>
      </w:r>
      <w:r w:rsidR="009300D6" w:rsidRPr="00BB5AC7">
        <w:rPr>
          <w:rFonts w:ascii="Times New Roman" w:hAnsi="Times New Roman"/>
          <w:sz w:val="28"/>
          <w:szCs w:val="28"/>
        </w:rPr>
        <w:t>у</w:t>
      </w:r>
      <w:r w:rsidRPr="00BB5AC7">
        <w:rPr>
          <w:rFonts w:ascii="Times New Roman" w:hAnsi="Times New Roman"/>
          <w:sz w:val="28"/>
          <w:szCs w:val="28"/>
        </w:rPr>
        <w:t xml:space="preserve"> </w:t>
      </w:r>
      <w:r w:rsidR="009300D6" w:rsidRPr="00BB5AC7">
        <w:rPr>
          <w:rFonts w:ascii="Times New Roman" w:hAnsi="Times New Roman"/>
          <w:sz w:val="28"/>
          <w:szCs w:val="28"/>
        </w:rPr>
        <w:t xml:space="preserve"> был произведен </w:t>
      </w:r>
      <w:r w:rsidRPr="00BB5AC7">
        <w:rPr>
          <w:rFonts w:ascii="Times New Roman" w:hAnsi="Times New Roman"/>
          <w:sz w:val="28"/>
          <w:szCs w:val="28"/>
        </w:rPr>
        <w:t xml:space="preserve">ремонт автодорог и тротуаров на сумму </w:t>
      </w:r>
      <w:r w:rsidR="00BB5AC7" w:rsidRPr="00BB5AC7">
        <w:rPr>
          <w:rFonts w:ascii="Times New Roman" w:hAnsi="Times New Roman"/>
          <w:sz w:val="28"/>
          <w:szCs w:val="28"/>
        </w:rPr>
        <w:t>55,1</w:t>
      </w:r>
      <w:r w:rsidRPr="00BB5AC7">
        <w:rPr>
          <w:rFonts w:ascii="Times New Roman" w:hAnsi="Times New Roman"/>
          <w:sz w:val="28"/>
          <w:szCs w:val="28"/>
        </w:rPr>
        <w:t xml:space="preserve"> млн</w:t>
      </w:r>
      <w:proofErr w:type="gramStart"/>
      <w:r w:rsidRPr="00BB5AC7">
        <w:rPr>
          <w:rFonts w:ascii="Times New Roman" w:hAnsi="Times New Roman"/>
          <w:sz w:val="28"/>
          <w:szCs w:val="28"/>
        </w:rPr>
        <w:t>.р</w:t>
      </w:r>
      <w:proofErr w:type="gramEnd"/>
      <w:r w:rsidRPr="00BB5AC7">
        <w:rPr>
          <w:rFonts w:ascii="Times New Roman" w:hAnsi="Times New Roman"/>
          <w:sz w:val="28"/>
          <w:szCs w:val="28"/>
        </w:rPr>
        <w:t>уб.</w:t>
      </w:r>
      <w:r w:rsidR="009300D6" w:rsidRPr="00BB5AC7">
        <w:rPr>
          <w:rFonts w:ascii="Times New Roman" w:hAnsi="Times New Roman"/>
          <w:sz w:val="28"/>
          <w:szCs w:val="28"/>
        </w:rPr>
        <w:t xml:space="preserve"> общей площадью </w:t>
      </w:r>
      <w:r w:rsidR="00BB5AC7" w:rsidRPr="00BB5AC7">
        <w:rPr>
          <w:rFonts w:ascii="Times New Roman" w:hAnsi="Times New Roman"/>
          <w:sz w:val="28"/>
          <w:szCs w:val="28"/>
        </w:rPr>
        <w:t>58,2</w:t>
      </w:r>
      <w:r w:rsidR="009300D6" w:rsidRPr="00BB5AC7">
        <w:rPr>
          <w:rFonts w:ascii="Times New Roman" w:hAnsi="Times New Roman"/>
          <w:sz w:val="28"/>
          <w:szCs w:val="28"/>
        </w:rPr>
        <w:t xml:space="preserve"> тыс</w:t>
      </w:r>
      <w:r w:rsidR="00A16CBF" w:rsidRPr="00BB5AC7">
        <w:rPr>
          <w:rFonts w:ascii="Times New Roman" w:hAnsi="Times New Roman"/>
          <w:sz w:val="28"/>
          <w:szCs w:val="28"/>
        </w:rPr>
        <w:t>.</w:t>
      </w:r>
      <w:r w:rsidR="009300D6" w:rsidRPr="00BB5AC7">
        <w:rPr>
          <w:rFonts w:ascii="Times New Roman" w:hAnsi="Times New Roman"/>
          <w:sz w:val="28"/>
          <w:szCs w:val="28"/>
        </w:rPr>
        <w:t xml:space="preserve"> кв.м.</w:t>
      </w:r>
      <w:r w:rsidRPr="00BB5AC7">
        <w:rPr>
          <w:rFonts w:ascii="Times New Roman" w:hAnsi="Times New Roman"/>
          <w:sz w:val="28"/>
          <w:szCs w:val="28"/>
        </w:rPr>
        <w:t xml:space="preserve"> </w:t>
      </w:r>
    </w:p>
    <w:p w:rsidR="004F3F80" w:rsidRPr="00DE75BA" w:rsidRDefault="000A310B" w:rsidP="00911873">
      <w:pPr>
        <w:spacing w:after="0" w:line="240" w:lineRule="auto"/>
        <w:ind w:firstLine="708"/>
        <w:jc w:val="both"/>
        <w:rPr>
          <w:rFonts w:ascii="Times New Roman" w:hAnsi="Times New Roman"/>
          <w:sz w:val="28"/>
          <w:szCs w:val="28"/>
        </w:rPr>
      </w:pPr>
      <w:r w:rsidRPr="00DE75BA">
        <w:rPr>
          <w:rFonts w:ascii="Times New Roman" w:hAnsi="Times New Roman"/>
          <w:sz w:val="28"/>
          <w:szCs w:val="28"/>
        </w:rPr>
        <w:t>В</w:t>
      </w:r>
      <w:r w:rsidR="00AD73E5" w:rsidRPr="00DE75BA">
        <w:rPr>
          <w:rFonts w:ascii="Times New Roman" w:hAnsi="Times New Roman"/>
          <w:sz w:val="28"/>
          <w:szCs w:val="28"/>
        </w:rPr>
        <w:t xml:space="preserve"> 201</w:t>
      </w:r>
      <w:r w:rsidR="00DE75BA" w:rsidRPr="00DE75BA">
        <w:rPr>
          <w:rFonts w:ascii="Times New Roman" w:hAnsi="Times New Roman"/>
          <w:sz w:val="28"/>
          <w:szCs w:val="28"/>
        </w:rPr>
        <w:t>7</w:t>
      </w:r>
      <w:r w:rsidR="00AD73E5" w:rsidRPr="00DE75BA">
        <w:rPr>
          <w:rFonts w:ascii="Times New Roman" w:hAnsi="Times New Roman"/>
          <w:sz w:val="28"/>
          <w:szCs w:val="28"/>
        </w:rPr>
        <w:t xml:space="preserve"> году</w:t>
      </w:r>
      <w:r w:rsidRPr="00DE75BA">
        <w:rPr>
          <w:rFonts w:ascii="Times New Roman" w:hAnsi="Times New Roman"/>
          <w:sz w:val="28"/>
          <w:szCs w:val="28"/>
        </w:rPr>
        <w:t xml:space="preserve"> </w:t>
      </w:r>
      <w:r w:rsidR="00927AB7" w:rsidRPr="00DE75BA">
        <w:rPr>
          <w:rFonts w:ascii="Times New Roman" w:hAnsi="Times New Roman"/>
          <w:sz w:val="28"/>
          <w:szCs w:val="28"/>
          <w:lang w:eastAsia="ru-RU"/>
        </w:rPr>
        <w:t xml:space="preserve">доля автомобильных дорог, не отвечающих нормативным требованиям, в общей протяженности автодорог общего пользования </w:t>
      </w:r>
      <w:r w:rsidR="00927AB7" w:rsidRPr="00DE75BA">
        <w:rPr>
          <w:rFonts w:ascii="Times New Roman" w:hAnsi="Times New Roman"/>
          <w:sz w:val="28"/>
          <w:szCs w:val="28"/>
          <w:lang w:eastAsia="ru-RU"/>
        </w:rPr>
        <w:lastRenderedPageBreak/>
        <w:t>местного значения</w:t>
      </w:r>
      <w:r w:rsidR="00927AB7" w:rsidRPr="00DE75BA">
        <w:rPr>
          <w:rFonts w:ascii="Times New Roman" w:hAnsi="Times New Roman"/>
          <w:sz w:val="28"/>
          <w:szCs w:val="28"/>
        </w:rPr>
        <w:t xml:space="preserve"> </w:t>
      </w:r>
      <w:r w:rsidRPr="00DE75BA">
        <w:rPr>
          <w:rFonts w:ascii="Times New Roman" w:hAnsi="Times New Roman"/>
          <w:sz w:val="28"/>
          <w:szCs w:val="28"/>
        </w:rPr>
        <w:t xml:space="preserve"> </w:t>
      </w:r>
      <w:r w:rsidR="00890D7C" w:rsidRPr="00DE75BA">
        <w:rPr>
          <w:rFonts w:ascii="Times New Roman" w:hAnsi="Times New Roman"/>
          <w:sz w:val="28"/>
          <w:szCs w:val="28"/>
        </w:rPr>
        <w:t>сократил</w:t>
      </w:r>
      <w:r w:rsidR="00EB56B4" w:rsidRPr="00DE75BA">
        <w:rPr>
          <w:rFonts w:ascii="Times New Roman" w:hAnsi="Times New Roman"/>
          <w:sz w:val="28"/>
          <w:szCs w:val="28"/>
        </w:rPr>
        <w:t>а</w:t>
      </w:r>
      <w:r w:rsidR="00890D7C" w:rsidRPr="00DE75BA">
        <w:rPr>
          <w:rFonts w:ascii="Times New Roman" w:hAnsi="Times New Roman"/>
          <w:sz w:val="28"/>
          <w:szCs w:val="28"/>
        </w:rPr>
        <w:t>с</w:t>
      </w:r>
      <w:r w:rsidR="00EB56B4" w:rsidRPr="00DE75BA">
        <w:rPr>
          <w:rFonts w:ascii="Times New Roman" w:hAnsi="Times New Roman"/>
          <w:sz w:val="28"/>
          <w:szCs w:val="28"/>
        </w:rPr>
        <w:t>ь</w:t>
      </w:r>
      <w:r w:rsidR="00890D7C" w:rsidRPr="00DE75BA">
        <w:rPr>
          <w:rFonts w:ascii="Times New Roman" w:hAnsi="Times New Roman"/>
          <w:sz w:val="28"/>
          <w:szCs w:val="28"/>
        </w:rPr>
        <w:t xml:space="preserve"> по сравнению с 201</w:t>
      </w:r>
      <w:r w:rsidR="00DE75BA" w:rsidRPr="00DE75BA">
        <w:rPr>
          <w:rFonts w:ascii="Times New Roman" w:hAnsi="Times New Roman"/>
          <w:sz w:val="28"/>
          <w:szCs w:val="28"/>
        </w:rPr>
        <w:t>6</w:t>
      </w:r>
      <w:r w:rsidR="00890D7C" w:rsidRPr="00DE75BA">
        <w:rPr>
          <w:rFonts w:ascii="Times New Roman" w:hAnsi="Times New Roman"/>
          <w:sz w:val="28"/>
          <w:szCs w:val="28"/>
        </w:rPr>
        <w:t xml:space="preserve"> годом на </w:t>
      </w:r>
      <w:r w:rsidR="00891F70" w:rsidRPr="00DE75BA">
        <w:rPr>
          <w:rFonts w:ascii="Times New Roman" w:hAnsi="Times New Roman"/>
          <w:sz w:val="28"/>
          <w:szCs w:val="28"/>
        </w:rPr>
        <w:t>3,</w:t>
      </w:r>
      <w:r w:rsidR="00DE75BA" w:rsidRPr="00DE75BA">
        <w:rPr>
          <w:rFonts w:ascii="Times New Roman" w:hAnsi="Times New Roman"/>
          <w:sz w:val="28"/>
          <w:szCs w:val="28"/>
        </w:rPr>
        <w:t>4</w:t>
      </w:r>
      <w:r w:rsidR="00890D7C" w:rsidRPr="00DE75BA">
        <w:rPr>
          <w:rFonts w:ascii="Times New Roman" w:hAnsi="Times New Roman"/>
          <w:sz w:val="28"/>
          <w:szCs w:val="28"/>
        </w:rPr>
        <w:t xml:space="preserve"> процент</w:t>
      </w:r>
      <w:r w:rsidR="0081189C" w:rsidRPr="00DE75BA">
        <w:rPr>
          <w:rFonts w:ascii="Times New Roman" w:hAnsi="Times New Roman"/>
          <w:sz w:val="28"/>
          <w:szCs w:val="28"/>
        </w:rPr>
        <w:t>а</w:t>
      </w:r>
      <w:r w:rsidR="00890D7C" w:rsidRPr="00DE75BA">
        <w:rPr>
          <w:rFonts w:ascii="Times New Roman" w:hAnsi="Times New Roman"/>
          <w:sz w:val="28"/>
          <w:szCs w:val="28"/>
        </w:rPr>
        <w:t xml:space="preserve"> и с</w:t>
      </w:r>
      <w:r w:rsidR="00AD73E5" w:rsidRPr="00DE75BA">
        <w:rPr>
          <w:rFonts w:ascii="Times New Roman" w:hAnsi="Times New Roman"/>
          <w:sz w:val="28"/>
          <w:szCs w:val="28"/>
        </w:rPr>
        <w:t>остав</w:t>
      </w:r>
      <w:r w:rsidRPr="00DE75BA">
        <w:rPr>
          <w:rFonts w:ascii="Times New Roman" w:hAnsi="Times New Roman"/>
          <w:sz w:val="28"/>
          <w:szCs w:val="28"/>
        </w:rPr>
        <w:t>и</w:t>
      </w:r>
      <w:r w:rsidR="00AD73E5" w:rsidRPr="00DE75BA">
        <w:rPr>
          <w:rFonts w:ascii="Times New Roman" w:hAnsi="Times New Roman"/>
          <w:sz w:val="28"/>
          <w:szCs w:val="28"/>
        </w:rPr>
        <w:t>л</w:t>
      </w:r>
      <w:r w:rsidR="00EB56B4" w:rsidRPr="00DE75BA">
        <w:rPr>
          <w:rFonts w:ascii="Times New Roman" w:hAnsi="Times New Roman"/>
          <w:sz w:val="28"/>
          <w:szCs w:val="28"/>
        </w:rPr>
        <w:t>а</w:t>
      </w:r>
      <w:r w:rsidR="00890D7C" w:rsidRPr="00DE75BA">
        <w:rPr>
          <w:rFonts w:ascii="Times New Roman" w:hAnsi="Times New Roman"/>
          <w:sz w:val="28"/>
          <w:szCs w:val="28"/>
        </w:rPr>
        <w:t xml:space="preserve"> </w:t>
      </w:r>
      <w:r w:rsidR="00DE75BA" w:rsidRPr="00DE75BA">
        <w:rPr>
          <w:rFonts w:ascii="Times New Roman" w:hAnsi="Times New Roman"/>
          <w:sz w:val="28"/>
          <w:szCs w:val="28"/>
        </w:rPr>
        <w:t xml:space="preserve">89,19 </w:t>
      </w:r>
      <w:r w:rsidR="00890D7C" w:rsidRPr="00DE75BA">
        <w:rPr>
          <w:rFonts w:ascii="Times New Roman" w:hAnsi="Times New Roman"/>
          <w:sz w:val="28"/>
          <w:szCs w:val="28"/>
        </w:rPr>
        <w:t>процент</w:t>
      </w:r>
      <w:r w:rsidR="00AE4085" w:rsidRPr="00DE75BA">
        <w:rPr>
          <w:rFonts w:ascii="Times New Roman" w:hAnsi="Times New Roman"/>
          <w:sz w:val="28"/>
          <w:szCs w:val="28"/>
        </w:rPr>
        <w:t>ов</w:t>
      </w:r>
      <w:r w:rsidRPr="00DE75BA">
        <w:rPr>
          <w:rFonts w:ascii="Times New Roman" w:hAnsi="Times New Roman"/>
          <w:sz w:val="28"/>
          <w:szCs w:val="28"/>
        </w:rPr>
        <w:t xml:space="preserve"> (в 201</w:t>
      </w:r>
      <w:r w:rsidR="00DE75BA" w:rsidRPr="00DE75BA">
        <w:rPr>
          <w:rFonts w:ascii="Times New Roman" w:hAnsi="Times New Roman"/>
          <w:sz w:val="28"/>
          <w:szCs w:val="28"/>
        </w:rPr>
        <w:t>6</w:t>
      </w:r>
      <w:r w:rsidRPr="00DE75BA">
        <w:rPr>
          <w:rFonts w:ascii="Times New Roman" w:hAnsi="Times New Roman"/>
          <w:sz w:val="28"/>
          <w:szCs w:val="28"/>
        </w:rPr>
        <w:t xml:space="preserve"> году – </w:t>
      </w:r>
      <w:r w:rsidR="00DE75BA" w:rsidRPr="00DE75BA">
        <w:rPr>
          <w:rFonts w:ascii="Times New Roman" w:hAnsi="Times New Roman"/>
          <w:sz w:val="28"/>
          <w:szCs w:val="28"/>
        </w:rPr>
        <w:t>92,6</w:t>
      </w:r>
      <w:r w:rsidRPr="00DE75BA">
        <w:rPr>
          <w:rFonts w:ascii="Times New Roman" w:hAnsi="Times New Roman"/>
          <w:sz w:val="28"/>
          <w:szCs w:val="28"/>
        </w:rPr>
        <w:t xml:space="preserve"> процент</w:t>
      </w:r>
      <w:r w:rsidR="0081189C" w:rsidRPr="00DE75BA">
        <w:rPr>
          <w:rFonts w:ascii="Times New Roman" w:hAnsi="Times New Roman"/>
          <w:sz w:val="28"/>
          <w:szCs w:val="28"/>
        </w:rPr>
        <w:t>ов</w:t>
      </w:r>
      <w:r w:rsidRPr="00DE75BA">
        <w:rPr>
          <w:rFonts w:ascii="Times New Roman" w:hAnsi="Times New Roman"/>
          <w:sz w:val="28"/>
          <w:szCs w:val="28"/>
        </w:rPr>
        <w:t xml:space="preserve">). </w:t>
      </w:r>
      <w:r w:rsidR="007641DB" w:rsidRPr="00DE75BA">
        <w:rPr>
          <w:rFonts w:ascii="Times New Roman" w:hAnsi="Times New Roman"/>
          <w:sz w:val="28"/>
          <w:szCs w:val="28"/>
        </w:rPr>
        <w:t>К 20</w:t>
      </w:r>
      <w:r w:rsidR="00DE75BA" w:rsidRPr="00DE75BA">
        <w:rPr>
          <w:rFonts w:ascii="Times New Roman" w:hAnsi="Times New Roman"/>
          <w:sz w:val="28"/>
          <w:szCs w:val="28"/>
        </w:rPr>
        <w:t>20</w:t>
      </w:r>
      <w:r w:rsidR="007641DB" w:rsidRPr="00DE75BA">
        <w:rPr>
          <w:rFonts w:ascii="Times New Roman" w:hAnsi="Times New Roman"/>
          <w:sz w:val="28"/>
          <w:szCs w:val="28"/>
        </w:rPr>
        <w:t xml:space="preserve"> году этот показатель планируется </w:t>
      </w:r>
      <w:r w:rsidR="00DE3901" w:rsidRPr="00DE75BA">
        <w:rPr>
          <w:rFonts w:ascii="Times New Roman" w:hAnsi="Times New Roman"/>
          <w:sz w:val="28"/>
          <w:szCs w:val="28"/>
        </w:rPr>
        <w:t>довести до</w:t>
      </w:r>
      <w:r w:rsidR="007641DB" w:rsidRPr="00DE75BA">
        <w:rPr>
          <w:rFonts w:ascii="Times New Roman" w:hAnsi="Times New Roman"/>
          <w:sz w:val="28"/>
          <w:szCs w:val="28"/>
        </w:rPr>
        <w:t xml:space="preserve"> уровн</w:t>
      </w:r>
      <w:r w:rsidR="00DE3901" w:rsidRPr="00DE75BA">
        <w:rPr>
          <w:rFonts w:ascii="Times New Roman" w:hAnsi="Times New Roman"/>
          <w:sz w:val="28"/>
          <w:szCs w:val="28"/>
        </w:rPr>
        <w:t>я</w:t>
      </w:r>
      <w:r w:rsidR="007641DB" w:rsidRPr="00DE75BA">
        <w:rPr>
          <w:rFonts w:ascii="Times New Roman" w:hAnsi="Times New Roman"/>
          <w:sz w:val="28"/>
          <w:szCs w:val="28"/>
        </w:rPr>
        <w:t xml:space="preserve"> </w:t>
      </w:r>
      <w:r w:rsidR="00DE75BA" w:rsidRPr="00DE75BA">
        <w:rPr>
          <w:rFonts w:ascii="Times New Roman" w:hAnsi="Times New Roman"/>
          <w:sz w:val="28"/>
          <w:szCs w:val="28"/>
        </w:rPr>
        <w:t>52,9</w:t>
      </w:r>
      <w:r w:rsidR="007641DB" w:rsidRPr="00DE75BA">
        <w:rPr>
          <w:rFonts w:ascii="Times New Roman" w:hAnsi="Times New Roman"/>
          <w:sz w:val="28"/>
          <w:szCs w:val="28"/>
        </w:rPr>
        <w:t xml:space="preserve"> процент</w:t>
      </w:r>
      <w:r w:rsidR="0084759A" w:rsidRPr="00DE75BA">
        <w:rPr>
          <w:rFonts w:ascii="Times New Roman" w:hAnsi="Times New Roman"/>
          <w:sz w:val="28"/>
          <w:szCs w:val="28"/>
        </w:rPr>
        <w:t>а.</w:t>
      </w:r>
    </w:p>
    <w:p w:rsidR="007736D4" w:rsidRPr="007C6C9C" w:rsidRDefault="007736D4" w:rsidP="00911873">
      <w:pPr>
        <w:spacing w:after="0" w:line="240" w:lineRule="auto"/>
        <w:ind w:firstLine="708"/>
        <w:jc w:val="both"/>
        <w:rPr>
          <w:rFonts w:ascii="Times New Roman" w:hAnsi="Times New Roman"/>
          <w:bCs/>
          <w:sz w:val="28"/>
          <w:szCs w:val="28"/>
          <w:lang w:eastAsia="ru-RU"/>
        </w:rPr>
      </w:pPr>
      <w:r w:rsidRPr="007C6C9C">
        <w:rPr>
          <w:rFonts w:ascii="Times New Roman" w:hAnsi="Times New Roman"/>
          <w:bCs/>
          <w:noProof/>
          <w:sz w:val="28"/>
          <w:szCs w:val="28"/>
          <w:lang w:eastAsia="ru-RU"/>
        </w:rPr>
        <w:drawing>
          <wp:inline distT="0" distB="0" distL="0" distR="0">
            <wp:extent cx="5362575" cy="283845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B0935" w:rsidRPr="007C6C9C" w:rsidRDefault="000B0935" w:rsidP="00911873">
      <w:pPr>
        <w:spacing w:after="0" w:line="240" w:lineRule="auto"/>
        <w:ind w:firstLine="709"/>
        <w:jc w:val="both"/>
        <w:rPr>
          <w:rFonts w:ascii="Times New Roman" w:eastAsia="Times New Roman" w:hAnsi="Times New Roman"/>
          <w:sz w:val="28"/>
          <w:szCs w:val="28"/>
          <w:lang w:eastAsia="ru-RU"/>
        </w:rPr>
      </w:pPr>
      <w:r w:rsidRPr="007C6C9C">
        <w:rPr>
          <w:rFonts w:ascii="Times New Roman" w:eastAsia="Times New Roman" w:hAnsi="Times New Roman"/>
          <w:sz w:val="28"/>
          <w:szCs w:val="28"/>
          <w:lang w:eastAsia="ru-RU"/>
        </w:rPr>
        <w:t>В 201</w:t>
      </w:r>
      <w:r w:rsidR="007C6C9C" w:rsidRPr="007C6C9C">
        <w:rPr>
          <w:rFonts w:ascii="Times New Roman" w:eastAsia="Times New Roman" w:hAnsi="Times New Roman"/>
          <w:sz w:val="28"/>
          <w:szCs w:val="28"/>
          <w:lang w:eastAsia="ru-RU"/>
        </w:rPr>
        <w:t>7</w:t>
      </w:r>
      <w:r w:rsidRPr="007C6C9C">
        <w:rPr>
          <w:rFonts w:ascii="Times New Roman" w:eastAsia="Times New Roman" w:hAnsi="Times New Roman"/>
          <w:sz w:val="28"/>
          <w:szCs w:val="28"/>
          <w:lang w:eastAsia="ru-RU"/>
        </w:rPr>
        <w:t xml:space="preserve"> году сохранилась сеть пригородных и межмуниципальных маршрутов удовлетворяющая потребность населения в пассажирских перевозках. Количество маршрутов регулярных автобусных перевозок осталось на уровне 201</w:t>
      </w:r>
      <w:r w:rsidR="007C6C9C" w:rsidRPr="007C6C9C">
        <w:rPr>
          <w:rFonts w:ascii="Times New Roman" w:eastAsia="Times New Roman" w:hAnsi="Times New Roman"/>
          <w:sz w:val="28"/>
          <w:szCs w:val="28"/>
          <w:lang w:eastAsia="ru-RU"/>
        </w:rPr>
        <w:t>6</w:t>
      </w:r>
      <w:r w:rsidRPr="007C6C9C">
        <w:rPr>
          <w:rFonts w:ascii="Times New Roman" w:eastAsia="Times New Roman" w:hAnsi="Times New Roman"/>
          <w:sz w:val="28"/>
          <w:szCs w:val="28"/>
          <w:lang w:eastAsia="ru-RU"/>
        </w:rPr>
        <w:t xml:space="preserve"> года.</w:t>
      </w:r>
    </w:p>
    <w:p w:rsidR="00BB0A5F" w:rsidRPr="007C6C9C" w:rsidRDefault="006D0CB9" w:rsidP="00911873">
      <w:pPr>
        <w:spacing w:after="0" w:line="240" w:lineRule="auto"/>
        <w:ind w:firstLine="708"/>
        <w:jc w:val="both"/>
        <w:rPr>
          <w:rFonts w:ascii="Times New Roman" w:hAnsi="Times New Roman"/>
          <w:sz w:val="28"/>
          <w:szCs w:val="28"/>
        </w:rPr>
      </w:pPr>
      <w:r w:rsidRPr="007C6C9C">
        <w:rPr>
          <w:rFonts w:ascii="Times New Roman" w:eastAsia="Times New Roman" w:hAnsi="Times New Roman"/>
          <w:sz w:val="28"/>
          <w:szCs w:val="28"/>
          <w:lang w:eastAsia="ru-RU"/>
        </w:rPr>
        <w:t xml:space="preserve">Население района практически полностью обеспечено регулярным транспортным сообщением. </w:t>
      </w:r>
      <w:r w:rsidR="007641DB" w:rsidRPr="007C6C9C">
        <w:rPr>
          <w:rFonts w:ascii="Times New Roman" w:hAnsi="Times New Roman"/>
          <w:sz w:val="28"/>
          <w:szCs w:val="28"/>
        </w:rPr>
        <w:t>Доля населения, проживающего в населенных пунктах, не имеющих регулярного автобусного и (или) ж/д сообщения с административным центром муниципального района, в общей численности населения муниципального района за 201</w:t>
      </w:r>
      <w:r w:rsidR="007C6C9C" w:rsidRPr="007C6C9C">
        <w:rPr>
          <w:rFonts w:ascii="Times New Roman" w:hAnsi="Times New Roman"/>
          <w:sz w:val="28"/>
          <w:szCs w:val="28"/>
        </w:rPr>
        <w:t>7</w:t>
      </w:r>
      <w:r w:rsidR="007641DB" w:rsidRPr="007C6C9C">
        <w:rPr>
          <w:rFonts w:ascii="Times New Roman" w:hAnsi="Times New Roman"/>
          <w:sz w:val="28"/>
          <w:szCs w:val="28"/>
        </w:rPr>
        <w:t xml:space="preserve"> год не изменилась по сравнению с прошлым годом и составила 2,0 процента. К 20</w:t>
      </w:r>
      <w:r w:rsidR="007C6C9C" w:rsidRPr="007C6C9C">
        <w:rPr>
          <w:rFonts w:ascii="Times New Roman" w:hAnsi="Times New Roman"/>
          <w:sz w:val="28"/>
          <w:szCs w:val="28"/>
        </w:rPr>
        <w:t>20</w:t>
      </w:r>
      <w:r w:rsidR="007641DB" w:rsidRPr="007C6C9C">
        <w:rPr>
          <w:rFonts w:ascii="Times New Roman" w:hAnsi="Times New Roman"/>
          <w:sz w:val="28"/>
          <w:szCs w:val="28"/>
        </w:rPr>
        <w:t xml:space="preserve"> году данный показатель </w:t>
      </w:r>
      <w:r w:rsidR="00477241" w:rsidRPr="007C6C9C">
        <w:rPr>
          <w:rFonts w:ascii="Times New Roman" w:hAnsi="Times New Roman"/>
          <w:sz w:val="28"/>
          <w:szCs w:val="28"/>
        </w:rPr>
        <w:t xml:space="preserve">не </w:t>
      </w:r>
      <w:r w:rsidR="007641DB" w:rsidRPr="007C6C9C">
        <w:rPr>
          <w:rFonts w:ascii="Times New Roman" w:hAnsi="Times New Roman"/>
          <w:sz w:val="28"/>
          <w:szCs w:val="28"/>
        </w:rPr>
        <w:t>уменьшится.</w:t>
      </w:r>
      <w:r w:rsidR="0026596F" w:rsidRPr="007C6C9C">
        <w:rPr>
          <w:rFonts w:ascii="Times New Roman" w:hAnsi="Times New Roman"/>
          <w:sz w:val="28"/>
          <w:szCs w:val="28"/>
        </w:rPr>
        <w:t xml:space="preserve"> </w:t>
      </w:r>
    </w:p>
    <w:p w:rsidR="00C1361C" w:rsidRPr="0063695F" w:rsidRDefault="00C1361C" w:rsidP="00911873">
      <w:pPr>
        <w:autoSpaceDE w:val="0"/>
        <w:autoSpaceDN w:val="0"/>
        <w:adjustRightInd w:val="0"/>
        <w:spacing w:after="0" w:line="240" w:lineRule="auto"/>
        <w:ind w:firstLine="720"/>
        <w:jc w:val="both"/>
        <w:rPr>
          <w:rFonts w:ascii="Times New Roman" w:hAnsi="Times New Roman"/>
          <w:b/>
          <w:sz w:val="28"/>
          <w:szCs w:val="28"/>
          <w:u w:val="single"/>
        </w:rPr>
      </w:pPr>
      <w:r w:rsidRPr="0063695F">
        <w:rPr>
          <w:rFonts w:ascii="Times New Roman" w:hAnsi="Times New Roman"/>
          <w:b/>
          <w:sz w:val="28"/>
          <w:szCs w:val="28"/>
          <w:u w:val="single"/>
        </w:rPr>
        <w:t>Доходы населения</w:t>
      </w:r>
    </w:p>
    <w:p w:rsidR="00357CAB" w:rsidRPr="006F1A9C" w:rsidRDefault="00357CAB" w:rsidP="006F1A9C">
      <w:pPr>
        <w:spacing w:after="0" w:line="240" w:lineRule="auto"/>
        <w:ind w:firstLine="709"/>
        <w:jc w:val="both"/>
        <w:rPr>
          <w:rFonts w:ascii="Times New Roman" w:eastAsia="Times New Roman" w:hAnsi="Times New Roman"/>
          <w:sz w:val="28"/>
          <w:szCs w:val="28"/>
          <w:lang w:eastAsia="ru-RU"/>
        </w:rPr>
      </w:pPr>
      <w:r w:rsidRPr="006F1A9C">
        <w:rPr>
          <w:rFonts w:ascii="Times New Roman" w:hAnsi="Times New Roman"/>
          <w:sz w:val="28"/>
          <w:szCs w:val="28"/>
          <w:lang w:eastAsia="ru-RU"/>
        </w:rPr>
        <w:t>Размер среднемесячной номинальной начисленной заработной платы работников крупных и средних предприятий и некоммерческих организаций в 201</w:t>
      </w:r>
      <w:r w:rsidR="00E63D12" w:rsidRPr="006F1A9C">
        <w:rPr>
          <w:rFonts w:ascii="Times New Roman" w:hAnsi="Times New Roman"/>
          <w:sz w:val="28"/>
          <w:szCs w:val="28"/>
          <w:lang w:eastAsia="ru-RU"/>
        </w:rPr>
        <w:t>7</w:t>
      </w:r>
      <w:r w:rsidR="00D803AC" w:rsidRPr="006F1A9C">
        <w:rPr>
          <w:rFonts w:ascii="Times New Roman" w:hAnsi="Times New Roman"/>
          <w:sz w:val="28"/>
          <w:szCs w:val="28"/>
          <w:lang w:eastAsia="ru-RU"/>
        </w:rPr>
        <w:t xml:space="preserve"> </w:t>
      </w:r>
      <w:r w:rsidRPr="006F1A9C">
        <w:rPr>
          <w:rFonts w:ascii="Times New Roman" w:hAnsi="Times New Roman"/>
          <w:sz w:val="28"/>
          <w:szCs w:val="28"/>
          <w:lang w:eastAsia="ru-RU"/>
        </w:rPr>
        <w:t xml:space="preserve">году по </w:t>
      </w:r>
      <w:proofErr w:type="spellStart"/>
      <w:r w:rsidRPr="006F1A9C">
        <w:rPr>
          <w:rFonts w:ascii="Times New Roman" w:hAnsi="Times New Roman"/>
          <w:sz w:val="28"/>
          <w:szCs w:val="28"/>
          <w:lang w:eastAsia="ru-RU"/>
        </w:rPr>
        <w:t>Кимовскому</w:t>
      </w:r>
      <w:proofErr w:type="spellEnd"/>
      <w:r w:rsidRPr="006F1A9C">
        <w:rPr>
          <w:rFonts w:ascii="Times New Roman" w:hAnsi="Times New Roman"/>
          <w:sz w:val="28"/>
          <w:szCs w:val="28"/>
          <w:lang w:eastAsia="ru-RU"/>
        </w:rPr>
        <w:t xml:space="preserve"> району увеличился по сравнению с прошлым годом на </w:t>
      </w:r>
      <w:r w:rsidR="00E63D12" w:rsidRPr="006F1A9C">
        <w:rPr>
          <w:rFonts w:ascii="Times New Roman" w:hAnsi="Times New Roman"/>
          <w:sz w:val="28"/>
          <w:szCs w:val="28"/>
          <w:lang w:eastAsia="ru-RU"/>
        </w:rPr>
        <w:t>6,5</w:t>
      </w:r>
      <w:r w:rsidR="00AF411E" w:rsidRPr="006F1A9C">
        <w:rPr>
          <w:rFonts w:ascii="Times New Roman" w:hAnsi="Times New Roman"/>
          <w:sz w:val="28"/>
          <w:szCs w:val="28"/>
          <w:lang w:eastAsia="ru-RU"/>
        </w:rPr>
        <w:t xml:space="preserve"> </w:t>
      </w:r>
      <w:r w:rsidRPr="006F1A9C">
        <w:rPr>
          <w:rFonts w:ascii="Times New Roman" w:hAnsi="Times New Roman"/>
          <w:sz w:val="28"/>
          <w:szCs w:val="28"/>
          <w:lang w:eastAsia="ru-RU"/>
        </w:rPr>
        <w:t xml:space="preserve">% и составил </w:t>
      </w:r>
      <w:r w:rsidR="00E63D12" w:rsidRPr="006F1A9C">
        <w:rPr>
          <w:rFonts w:ascii="Times New Roman" w:eastAsia="Times New Roman" w:hAnsi="Times New Roman"/>
          <w:sz w:val="28"/>
          <w:szCs w:val="28"/>
          <w:lang w:eastAsia="ru-RU"/>
        </w:rPr>
        <w:t xml:space="preserve">27 072,7 </w:t>
      </w:r>
      <w:r w:rsidRPr="006F1A9C">
        <w:rPr>
          <w:rFonts w:ascii="Times New Roman" w:hAnsi="Times New Roman"/>
          <w:sz w:val="28"/>
          <w:szCs w:val="28"/>
          <w:lang w:eastAsia="ru-RU"/>
        </w:rPr>
        <w:t xml:space="preserve">рублей </w:t>
      </w:r>
      <w:r w:rsidR="00194BB9" w:rsidRPr="006F1A9C">
        <w:rPr>
          <w:rFonts w:ascii="Times New Roman" w:hAnsi="Times New Roman"/>
          <w:sz w:val="28"/>
          <w:szCs w:val="28"/>
          <w:lang w:eastAsia="ru-RU"/>
        </w:rPr>
        <w:t>(</w:t>
      </w:r>
      <w:r w:rsidRPr="006F1A9C">
        <w:rPr>
          <w:rFonts w:ascii="Times New Roman" w:hAnsi="Times New Roman"/>
          <w:sz w:val="28"/>
          <w:szCs w:val="28"/>
          <w:lang w:eastAsia="ru-RU"/>
        </w:rPr>
        <w:t>в 201</w:t>
      </w:r>
      <w:r w:rsidR="00E63D12" w:rsidRPr="006F1A9C">
        <w:rPr>
          <w:rFonts w:ascii="Times New Roman" w:hAnsi="Times New Roman"/>
          <w:sz w:val="28"/>
          <w:szCs w:val="28"/>
          <w:lang w:eastAsia="ru-RU"/>
        </w:rPr>
        <w:t xml:space="preserve">6 </w:t>
      </w:r>
      <w:r w:rsidRPr="006F1A9C">
        <w:rPr>
          <w:rFonts w:ascii="Times New Roman" w:hAnsi="Times New Roman"/>
          <w:sz w:val="28"/>
          <w:szCs w:val="28"/>
          <w:lang w:eastAsia="ru-RU"/>
        </w:rPr>
        <w:t xml:space="preserve">году </w:t>
      </w:r>
      <w:r w:rsidR="005A49AC" w:rsidRPr="006F1A9C">
        <w:rPr>
          <w:rFonts w:ascii="Times New Roman" w:hAnsi="Times New Roman"/>
          <w:sz w:val="28"/>
          <w:szCs w:val="28"/>
          <w:lang w:eastAsia="ru-RU"/>
        </w:rPr>
        <w:t>–</w:t>
      </w:r>
      <w:r w:rsidRPr="006F1A9C">
        <w:rPr>
          <w:rFonts w:ascii="Times New Roman" w:hAnsi="Times New Roman"/>
          <w:sz w:val="28"/>
          <w:szCs w:val="28"/>
          <w:lang w:eastAsia="ru-RU"/>
        </w:rPr>
        <w:t xml:space="preserve"> </w:t>
      </w:r>
      <w:r w:rsidR="00E63D12" w:rsidRPr="006F1A9C">
        <w:rPr>
          <w:rFonts w:ascii="Times New Roman" w:eastAsia="Times New Roman" w:hAnsi="Times New Roman"/>
          <w:sz w:val="28"/>
          <w:szCs w:val="28"/>
          <w:lang w:eastAsia="ru-RU"/>
        </w:rPr>
        <w:t xml:space="preserve">25 399,80 </w:t>
      </w:r>
      <w:r w:rsidRPr="006F1A9C">
        <w:rPr>
          <w:rFonts w:ascii="Times New Roman" w:hAnsi="Times New Roman"/>
          <w:sz w:val="28"/>
          <w:szCs w:val="28"/>
          <w:lang w:eastAsia="ru-RU"/>
        </w:rPr>
        <w:t>рубл</w:t>
      </w:r>
      <w:r w:rsidR="005A49AC" w:rsidRPr="006F1A9C">
        <w:rPr>
          <w:rFonts w:ascii="Times New Roman" w:hAnsi="Times New Roman"/>
          <w:sz w:val="28"/>
          <w:szCs w:val="28"/>
          <w:lang w:eastAsia="ru-RU"/>
        </w:rPr>
        <w:t>ей</w:t>
      </w:r>
      <w:r w:rsidRPr="006F1A9C">
        <w:rPr>
          <w:rFonts w:ascii="Times New Roman" w:hAnsi="Times New Roman"/>
          <w:sz w:val="28"/>
          <w:szCs w:val="28"/>
          <w:lang w:eastAsia="ru-RU"/>
        </w:rPr>
        <w:t>). Планируется дальнейшее повышение уровня заработной платы и к 20</w:t>
      </w:r>
      <w:r w:rsidR="00E63D12" w:rsidRPr="006F1A9C">
        <w:rPr>
          <w:rFonts w:ascii="Times New Roman" w:hAnsi="Times New Roman"/>
          <w:sz w:val="28"/>
          <w:szCs w:val="28"/>
          <w:lang w:eastAsia="ru-RU"/>
        </w:rPr>
        <w:t>20</w:t>
      </w:r>
      <w:r w:rsidRPr="006F1A9C">
        <w:rPr>
          <w:rFonts w:ascii="Times New Roman" w:hAnsi="Times New Roman"/>
          <w:sz w:val="28"/>
          <w:szCs w:val="28"/>
          <w:lang w:eastAsia="ru-RU"/>
        </w:rPr>
        <w:t xml:space="preserve"> году </w:t>
      </w:r>
      <w:r w:rsidR="003671BF" w:rsidRPr="006F1A9C">
        <w:rPr>
          <w:rFonts w:ascii="Times New Roman" w:hAnsi="Times New Roman"/>
          <w:sz w:val="28"/>
          <w:szCs w:val="28"/>
          <w:lang w:eastAsia="ru-RU"/>
        </w:rPr>
        <w:t>данный показатель составит</w:t>
      </w:r>
      <w:r w:rsidR="00E63D12" w:rsidRPr="006F1A9C">
        <w:rPr>
          <w:rFonts w:ascii="Times New Roman" w:hAnsi="Times New Roman"/>
          <w:sz w:val="28"/>
          <w:szCs w:val="28"/>
          <w:lang w:eastAsia="ru-RU"/>
        </w:rPr>
        <w:t xml:space="preserve"> </w:t>
      </w:r>
      <w:r w:rsidR="00E63D12" w:rsidRPr="006F1A9C">
        <w:rPr>
          <w:rFonts w:ascii="Times New Roman" w:eastAsia="Times New Roman" w:hAnsi="Times New Roman"/>
          <w:sz w:val="28"/>
          <w:szCs w:val="28"/>
          <w:lang w:eastAsia="ru-RU"/>
        </w:rPr>
        <w:t xml:space="preserve">30 013,74 </w:t>
      </w:r>
      <w:r w:rsidR="003671BF" w:rsidRPr="006F1A9C">
        <w:rPr>
          <w:rFonts w:ascii="Times New Roman" w:hAnsi="Times New Roman"/>
          <w:sz w:val="28"/>
          <w:szCs w:val="28"/>
          <w:lang w:eastAsia="ru-RU"/>
        </w:rPr>
        <w:t>рубл</w:t>
      </w:r>
      <w:r w:rsidR="005A49AC" w:rsidRPr="006F1A9C">
        <w:rPr>
          <w:rFonts w:ascii="Times New Roman" w:hAnsi="Times New Roman"/>
          <w:sz w:val="28"/>
          <w:szCs w:val="28"/>
          <w:lang w:eastAsia="ru-RU"/>
        </w:rPr>
        <w:t>ей</w:t>
      </w:r>
      <w:r w:rsidR="003671BF" w:rsidRPr="006F1A9C">
        <w:rPr>
          <w:rFonts w:ascii="Times New Roman" w:hAnsi="Times New Roman"/>
          <w:sz w:val="28"/>
          <w:szCs w:val="28"/>
          <w:lang w:eastAsia="ru-RU"/>
        </w:rPr>
        <w:t>.</w:t>
      </w:r>
    </w:p>
    <w:p w:rsidR="00532A9C" w:rsidRPr="00B314AD" w:rsidRDefault="00532A9C" w:rsidP="00911873">
      <w:pPr>
        <w:spacing w:after="0" w:line="240" w:lineRule="auto"/>
        <w:ind w:firstLine="720"/>
        <w:jc w:val="both"/>
        <w:rPr>
          <w:rFonts w:ascii="Times New Roman" w:hAnsi="Times New Roman"/>
          <w:sz w:val="28"/>
          <w:szCs w:val="28"/>
          <w:highlight w:val="yellow"/>
          <w:lang w:eastAsia="ru-RU"/>
        </w:rPr>
      </w:pPr>
      <w:r w:rsidRPr="001C3C55">
        <w:rPr>
          <w:rFonts w:ascii="Times New Roman" w:hAnsi="Times New Roman"/>
          <w:noProof/>
          <w:sz w:val="28"/>
          <w:szCs w:val="28"/>
          <w:lang w:eastAsia="ru-RU"/>
        </w:rPr>
        <w:lastRenderedPageBreak/>
        <w:drawing>
          <wp:inline distT="0" distB="0" distL="0" distR="0">
            <wp:extent cx="5486400" cy="3638550"/>
            <wp:effectExtent l="1905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32A9C" w:rsidRPr="00B314AD" w:rsidRDefault="00532A9C" w:rsidP="00911873">
      <w:pPr>
        <w:spacing w:after="0" w:line="240" w:lineRule="auto"/>
        <w:ind w:firstLine="709"/>
        <w:jc w:val="both"/>
        <w:rPr>
          <w:rFonts w:ascii="Times New Roman" w:hAnsi="Times New Roman"/>
          <w:sz w:val="28"/>
          <w:szCs w:val="28"/>
          <w:highlight w:val="yellow"/>
        </w:rPr>
      </w:pPr>
    </w:p>
    <w:p w:rsidR="004C4754" w:rsidRPr="006F1A9C" w:rsidRDefault="004C4754" w:rsidP="006F1A9C">
      <w:pPr>
        <w:spacing w:after="0" w:line="240" w:lineRule="auto"/>
        <w:ind w:firstLine="709"/>
        <w:jc w:val="both"/>
        <w:rPr>
          <w:rFonts w:ascii="Times New Roman" w:hAnsi="Times New Roman"/>
          <w:sz w:val="28"/>
          <w:szCs w:val="28"/>
          <w:highlight w:val="yellow"/>
        </w:rPr>
      </w:pPr>
      <w:r w:rsidRPr="006F1A9C">
        <w:rPr>
          <w:rFonts w:ascii="Times New Roman" w:hAnsi="Times New Roman"/>
          <w:sz w:val="28"/>
          <w:szCs w:val="28"/>
        </w:rPr>
        <w:t>В течение 201</w:t>
      </w:r>
      <w:r w:rsidR="00E13DB8" w:rsidRPr="006F1A9C">
        <w:rPr>
          <w:rFonts w:ascii="Times New Roman" w:hAnsi="Times New Roman"/>
          <w:sz w:val="28"/>
          <w:szCs w:val="28"/>
        </w:rPr>
        <w:t>7</w:t>
      </w:r>
      <w:r w:rsidRPr="006F1A9C">
        <w:rPr>
          <w:rFonts w:ascii="Times New Roman" w:hAnsi="Times New Roman"/>
          <w:sz w:val="28"/>
          <w:szCs w:val="28"/>
        </w:rPr>
        <w:t xml:space="preserve"> года проводилась большая работа по легализации заработной платы и снижению неформальной занятости, в результате было заключено </w:t>
      </w:r>
      <w:r w:rsidR="00C9355E" w:rsidRPr="006F1A9C">
        <w:rPr>
          <w:rFonts w:ascii="Times New Roman" w:hAnsi="Times New Roman"/>
          <w:sz w:val="28"/>
          <w:szCs w:val="28"/>
        </w:rPr>
        <w:t>3</w:t>
      </w:r>
      <w:r w:rsidR="00E13DB8" w:rsidRPr="006F1A9C">
        <w:rPr>
          <w:rFonts w:ascii="Times New Roman" w:hAnsi="Times New Roman"/>
          <w:sz w:val="28"/>
          <w:szCs w:val="28"/>
        </w:rPr>
        <w:t>02</w:t>
      </w:r>
      <w:r w:rsidRPr="006F1A9C">
        <w:rPr>
          <w:rFonts w:ascii="Times New Roman" w:hAnsi="Times New Roman"/>
          <w:sz w:val="28"/>
          <w:szCs w:val="28"/>
        </w:rPr>
        <w:t xml:space="preserve"> </w:t>
      </w:r>
      <w:proofErr w:type="gramStart"/>
      <w:r w:rsidRPr="006F1A9C">
        <w:rPr>
          <w:rFonts w:ascii="Times New Roman" w:hAnsi="Times New Roman"/>
          <w:sz w:val="28"/>
          <w:szCs w:val="28"/>
        </w:rPr>
        <w:t>трудовых</w:t>
      </w:r>
      <w:proofErr w:type="gramEnd"/>
      <w:r w:rsidRPr="006F1A9C">
        <w:rPr>
          <w:rFonts w:ascii="Times New Roman" w:hAnsi="Times New Roman"/>
          <w:sz w:val="28"/>
          <w:szCs w:val="28"/>
        </w:rPr>
        <w:t xml:space="preserve"> договор</w:t>
      </w:r>
      <w:r w:rsidR="00E13DB8" w:rsidRPr="006F1A9C">
        <w:rPr>
          <w:rFonts w:ascii="Times New Roman" w:hAnsi="Times New Roman"/>
          <w:sz w:val="28"/>
          <w:szCs w:val="28"/>
        </w:rPr>
        <w:t>а</w:t>
      </w:r>
      <w:r w:rsidRPr="006F1A9C">
        <w:rPr>
          <w:rFonts w:ascii="Times New Roman" w:hAnsi="Times New Roman"/>
          <w:sz w:val="28"/>
          <w:szCs w:val="28"/>
        </w:rPr>
        <w:t xml:space="preserve"> с гражданами, осуществляющими трудовую деятельность, </w:t>
      </w:r>
      <w:r w:rsidRPr="00490344">
        <w:rPr>
          <w:rFonts w:ascii="Times New Roman" w:hAnsi="Times New Roman"/>
          <w:sz w:val="28"/>
          <w:szCs w:val="28"/>
        </w:rPr>
        <w:t xml:space="preserve">при плане </w:t>
      </w:r>
      <w:r w:rsidR="00490344" w:rsidRPr="00490344">
        <w:rPr>
          <w:rFonts w:ascii="Times New Roman" w:hAnsi="Times New Roman"/>
          <w:sz w:val="28"/>
          <w:szCs w:val="28"/>
        </w:rPr>
        <w:t>231</w:t>
      </w:r>
      <w:r w:rsidRPr="00490344">
        <w:rPr>
          <w:rFonts w:ascii="Times New Roman" w:hAnsi="Times New Roman"/>
          <w:sz w:val="28"/>
          <w:szCs w:val="28"/>
        </w:rPr>
        <w:t>.</w:t>
      </w:r>
    </w:p>
    <w:p w:rsidR="005E65DB" w:rsidRPr="006F1A9C" w:rsidRDefault="005E65DB" w:rsidP="006F1A9C">
      <w:pPr>
        <w:spacing w:after="0" w:line="240" w:lineRule="auto"/>
        <w:ind w:firstLine="709"/>
        <w:jc w:val="both"/>
        <w:rPr>
          <w:rFonts w:ascii="Times New Roman" w:hAnsi="Times New Roman"/>
          <w:sz w:val="28"/>
          <w:szCs w:val="28"/>
        </w:rPr>
      </w:pPr>
      <w:proofErr w:type="gramStart"/>
      <w:r w:rsidRPr="006F1A9C">
        <w:rPr>
          <w:rFonts w:ascii="Times New Roman" w:hAnsi="Times New Roman"/>
          <w:sz w:val="28"/>
          <w:szCs w:val="28"/>
        </w:rPr>
        <w:t xml:space="preserve">Администрацией муниципального образования в </w:t>
      </w:r>
      <w:r w:rsidRPr="00F47A33">
        <w:rPr>
          <w:rFonts w:ascii="Times New Roman" w:hAnsi="Times New Roman"/>
          <w:sz w:val="28"/>
          <w:szCs w:val="28"/>
        </w:rPr>
        <w:t>течение 201</w:t>
      </w:r>
      <w:r w:rsidR="00F47A33" w:rsidRPr="00F47A33">
        <w:rPr>
          <w:rFonts w:ascii="Times New Roman" w:hAnsi="Times New Roman"/>
          <w:sz w:val="28"/>
          <w:szCs w:val="28"/>
        </w:rPr>
        <w:t>7</w:t>
      </w:r>
      <w:r w:rsidRPr="00F47A33">
        <w:rPr>
          <w:rFonts w:ascii="Times New Roman" w:hAnsi="Times New Roman"/>
          <w:sz w:val="28"/>
          <w:szCs w:val="28"/>
        </w:rPr>
        <w:t xml:space="preserve"> года</w:t>
      </w:r>
      <w:r w:rsidRPr="006F1A9C">
        <w:rPr>
          <w:rFonts w:ascii="Times New Roman" w:hAnsi="Times New Roman"/>
          <w:sz w:val="28"/>
          <w:szCs w:val="28"/>
        </w:rPr>
        <w:t xml:space="preserve"> проводилась работа по реализации Указа Президента Российской Федерации от 7 мая 2012 года №</w:t>
      </w:r>
      <w:r w:rsidR="005841D5" w:rsidRPr="006F1A9C">
        <w:rPr>
          <w:rFonts w:ascii="Times New Roman" w:hAnsi="Times New Roman"/>
          <w:sz w:val="28"/>
          <w:szCs w:val="28"/>
        </w:rPr>
        <w:t xml:space="preserve"> </w:t>
      </w:r>
      <w:r w:rsidRPr="006F1A9C">
        <w:rPr>
          <w:rFonts w:ascii="Times New Roman" w:hAnsi="Times New Roman"/>
          <w:sz w:val="28"/>
          <w:szCs w:val="28"/>
        </w:rPr>
        <w:t>597 «О мероприятиях по реализации государственной социальной политики» в части доведения в 201</w:t>
      </w:r>
      <w:r w:rsidR="00C9355E" w:rsidRPr="006F1A9C">
        <w:rPr>
          <w:rFonts w:ascii="Times New Roman" w:hAnsi="Times New Roman"/>
          <w:sz w:val="28"/>
          <w:szCs w:val="28"/>
        </w:rPr>
        <w:t>6</w:t>
      </w:r>
      <w:r w:rsidRPr="006F1A9C">
        <w:rPr>
          <w:rFonts w:ascii="Times New Roman" w:hAnsi="Times New Roman"/>
          <w:sz w:val="28"/>
          <w:szCs w:val="28"/>
        </w:rPr>
        <w:t xml:space="preserve"> году средней заработной платы педагогических работников дошкольных образовательных учреждений до средней заработной платы в сфере общего образования в Тульской области.</w:t>
      </w:r>
      <w:proofErr w:type="gramEnd"/>
    </w:p>
    <w:p w:rsidR="00194BB9" w:rsidRPr="006F1A9C" w:rsidRDefault="00194BB9" w:rsidP="006F1A9C">
      <w:pPr>
        <w:spacing w:after="0" w:line="240" w:lineRule="auto"/>
        <w:ind w:firstLine="709"/>
        <w:jc w:val="both"/>
        <w:rPr>
          <w:rFonts w:ascii="Times New Roman" w:eastAsia="Times New Roman" w:hAnsi="Times New Roman"/>
          <w:sz w:val="28"/>
          <w:szCs w:val="28"/>
          <w:lang w:eastAsia="ru-RU"/>
        </w:rPr>
      </w:pPr>
      <w:r w:rsidRPr="006F1A9C">
        <w:rPr>
          <w:rFonts w:ascii="Times New Roman" w:hAnsi="Times New Roman"/>
          <w:sz w:val="28"/>
          <w:szCs w:val="28"/>
          <w:lang w:eastAsia="ru-RU"/>
        </w:rPr>
        <w:t>Среднемесячная номинальная начисленная заработная плата работников муниципальных дошкольных образовательных учреждений за отчетный год увеличилась на</w:t>
      </w:r>
      <w:r w:rsidR="00C16EA9" w:rsidRPr="006F1A9C">
        <w:rPr>
          <w:rFonts w:ascii="Times New Roman" w:hAnsi="Times New Roman"/>
          <w:sz w:val="28"/>
          <w:szCs w:val="28"/>
          <w:lang w:eastAsia="ru-RU"/>
        </w:rPr>
        <w:t xml:space="preserve"> 4,5</w:t>
      </w:r>
      <w:r w:rsidRPr="006F1A9C">
        <w:rPr>
          <w:rFonts w:ascii="Times New Roman" w:hAnsi="Times New Roman"/>
          <w:sz w:val="28"/>
          <w:szCs w:val="28"/>
          <w:lang w:eastAsia="ru-RU"/>
        </w:rPr>
        <w:t xml:space="preserve"> процент</w:t>
      </w:r>
      <w:r w:rsidR="00E1232C" w:rsidRPr="006F1A9C">
        <w:rPr>
          <w:rFonts w:ascii="Times New Roman" w:hAnsi="Times New Roman"/>
          <w:sz w:val="28"/>
          <w:szCs w:val="28"/>
          <w:lang w:eastAsia="ru-RU"/>
        </w:rPr>
        <w:t>а</w:t>
      </w:r>
      <w:r w:rsidRPr="006F1A9C">
        <w:rPr>
          <w:rFonts w:ascii="Times New Roman" w:hAnsi="Times New Roman"/>
          <w:sz w:val="28"/>
          <w:szCs w:val="28"/>
          <w:lang w:eastAsia="ru-RU"/>
        </w:rPr>
        <w:t xml:space="preserve"> и составила </w:t>
      </w:r>
      <w:r w:rsidR="00C16EA9" w:rsidRPr="006F1A9C">
        <w:rPr>
          <w:rFonts w:ascii="Times New Roman" w:eastAsia="Times New Roman" w:hAnsi="Times New Roman"/>
          <w:sz w:val="28"/>
          <w:szCs w:val="28"/>
          <w:lang w:eastAsia="ru-RU"/>
        </w:rPr>
        <w:t xml:space="preserve">17 914,80 </w:t>
      </w:r>
      <w:r w:rsidR="00B760D4" w:rsidRPr="006F1A9C">
        <w:rPr>
          <w:rFonts w:ascii="Times New Roman" w:hAnsi="Times New Roman"/>
          <w:sz w:val="28"/>
          <w:szCs w:val="28"/>
          <w:lang w:eastAsia="ru-RU"/>
        </w:rPr>
        <w:t xml:space="preserve">рублей </w:t>
      </w:r>
      <w:r w:rsidRPr="006F1A9C">
        <w:rPr>
          <w:rFonts w:ascii="Times New Roman" w:hAnsi="Times New Roman"/>
          <w:sz w:val="28"/>
          <w:szCs w:val="28"/>
          <w:lang w:eastAsia="ru-RU"/>
        </w:rPr>
        <w:t>(в 201</w:t>
      </w:r>
      <w:r w:rsidR="00C16EA9" w:rsidRPr="006F1A9C">
        <w:rPr>
          <w:rFonts w:ascii="Times New Roman" w:hAnsi="Times New Roman"/>
          <w:sz w:val="28"/>
          <w:szCs w:val="28"/>
          <w:lang w:eastAsia="ru-RU"/>
        </w:rPr>
        <w:t>6</w:t>
      </w:r>
      <w:r w:rsidRPr="006F1A9C">
        <w:rPr>
          <w:rFonts w:ascii="Times New Roman" w:hAnsi="Times New Roman"/>
          <w:sz w:val="28"/>
          <w:szCs w:val="28"/>
          <w:lang w:eastAsia="ru-RU"/>
        </w:rPr>
        <w:t xml:space="preserve"> году – </w:t>
      </w:r>
      <w:r w:rsidR="00C16EA9" w:rsidRPr="006F1A9C">
        <w:rPr>
          <w:rFonts w:ascii="Times New Roman" w:eastAsia="Times New Roman" w:hAnsi="Times New Roman"/>
          <w:sz w:val="28"/>
          <w:szCs w:val="28"/>
          <w:lang w:eastAsia="ru-RU"/>
        </w:rPr>
        <w:t xml:space="preserve">17 136,50 </w:t>
      </w:r>
      <w:r w:rsidRPr="006F1A9C">
        <w:rPr>
          <w:rFonts w:ascii="Times New Roman" w:hAnsi="Times New Roman"/>
          <w:sz w:val="28"/>
          <w:szCs w:val="28"/>
          <w:lang w:eastAsia="ru-RU"/>
        </w:rPr>
        <w:t>рубл</w:t>
      </w:r>
      <w:r w:rsidR="00F55D1F" w:rsidRPr="006F1A9C">
        <w:rPr>
          <w:rFonts w:ascii="Times New Roman" w:hAnsi="Times New Roman"/>
          <w:sz w:val="28"/>
          <w:szCs w:val="28"/>
          <w:lang w:eastAsia="ru-RU"/>
        </w:rPr>
        <w:t>ей</w:t>
      </w:r>
      <w:r w:rsidRPr="006F1A9C">
        <w:rPr>
          <w:rFonts w:ascii="Times New Roman" w:hAnsi="Times New Roman"/>
          <w:sz w:val="28"/>
          <w:szCs w:val="28"/>
          <w:lang w:eastAsia="ru-RU"/>
        </w:rPr>
        <w:t>), дальнейший рост заработной платы работников дошкольных образовательных учреждений предполагает до</w:t>
      </w:r>
      <w:r w:rsidR="00B40DA2" w:rsidRPr="006F1A9C">
        <w:rPr>
          <w:rFonts w:ascii="Times New Roman" w:hAnsi="Times New Roman"/>
          <w:sz w:val="28"/>
          <w:szCs w:val="28"/>
          <w:lang w:eastAsia="ru-RU"/>
        </w:rPr>
        <w:t>вести уровень заработной платы</w:t>
      </w:r>
      <w:r w:rsidRPr="006F1A9C">
        <w:rPr>
          <w:rFonts w:ascii="Times New Roman" w:hAnsi="Times New Roman"/>
          <w:sz w:val="28"/>
          <w:szCs w:val="28"/>
          <w:lang w:eastAsia="ru-RU"/>
        </w:rPr>
        <w:t xml:space="preserve"> к 20</w:t>
      </w:r>
      <w:r w:rsidR="00C16EA9" w:rsidRPr="006F1A9C">
        <w:rPr>
          <w:rFonts w:ascii="Times New Roman" w:hAnsi="Times New Roman"/>
          <w:sz w:val="28"/>
          <w:szCs w:val="28"/>
          <w:lang w:eastAsia="ru-RU"/>
        </w:rPr>
        <w:t>20</w:t>
      </w:r>
      <w:r w:rsidR="00556A4A" w:rsidRPr="006F1A9C">
        <w:rPr>
          <w:rFonts w:ascii="Times New Roman" w:hAnsi="Times New Roman"/>
          <w:sz w:val="28"/>
          <w:szCs w:val="28"/>
          <w:lang w:eastAsia="ru-RU"/>
        </w:rPr>
        <w:t xml:space="preserve"> </w:t>
      </w:r>
      <w:r w:rsidRPr="006F1A9C">
        <w:rPr>
          <w:rFonts w:ascii="Times New Roman" w:hAnsi="Times New Roman"/>
          <w:sz w:val="28"/>
          <w:szCs w:val="28"/>
          <w:lang w:eastAsia="ru-RU"/>
        </w:rPr>
        <w:t xml:space="preserve">году </w:t>
      </w:r>
      <w:r w:rsidR="00B40DA2" w:rsidRPr="006F1A9C">
        <w:rPr>
          <w:rFonts w:ascii="Times New Roman" w:hAnsi="Times New Roman"/>
          <w:sz w:val="28"/>
          <w:szCs w:val="28"/>
          <w:lang w:eastAsia="ru-RU"/>
        </w:rPr>
        <w:t xml:space="preserve">до </w:t>
      </w:r>
      <w:r w:rsidR="00C16EA9" w:rsidRPr="006F1A9C">
        <w:rPr>
          <w:rFonts w:ascii="Times New Roman" w:eastAsia="Times New Roman" w:hAnsi="Times New Roman"/>
          <w:sz w:val="28"/>
          <w:szCs w:val="28"/>
          <w:lang w:eastAsia="ru-RU"/>
        </w:rPr>
        <w:t xml:space="preserve">20 858,70 </w:t>
      </w:r>
      <w:r w:rsidRPr="006F1A9C">
        <w:rPr>
          <w:rFonts w:ascii="Times New Roman" w:hAnsi="Times New Roman"/>
          <w:sz w:val="28"/>
          <w:szCs w:val="28"/>
          <w:lang w:eastAsia="ru-RU"/>
        </w:rPr>
        <w:t>рублей.</w:t>
      </w:r>
    </w:p>
    <w:p w:rsidR="0034035A" w:rsidRPr="00B314AD" w:rsidRDefault="0034035A" w:rsidP="00911873">
      <w:pPr>
        <w:spacing w:after="0" w:line="240" w:lineRule="auto"/>
        <w:ind w:firstLine="720"/>
        <w:jc w:val="both"/>
        <w:rPr>
          <w:rFonts w:ascii="Times New Roman" w:hAnsi="Times New Roman"/>
          <w:sz w:val="28"/>
          <w:szCs w:val="28"/>
          <w:highlight w:val="yellow"/>
          <w:lang w:eastAsia="ru-RU"/>
        </w:rPr>
      </w:pPr>
      <w:r w:rsidRPr="00514FF6">
        <w:rPr>
          <w:rFonts w:ascii="Times New Roman" w:hAnsi="Times New Roman"/>
          <w:noProof/>
          <w:sz w:val="28"/>
          <w:szCs w:val="20"/>
          <w:lang w:eastAsia="ru-RU"/>
        </w:rPr>
        <w:lastRenderedPageBreak/>
        <w:drawing>
          <wp:inline distT="0" distB="0" distL="0" distR="0">
            <wp:extent cx="5486400" cy="3638550"/>
            <wp:effectExtent l="19050" t="0" r="0"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4035A" w:rsidRPr="00AD4624" w:rsidRDefault="00857447" w:rsidP="00AD4624">
      <w:pPr>
        <w:spacing w:after="0" w:line="240" w:lineRule="auto"/>
        <w:ind w:firstLine="709"/>
        <w:jc w:val="both"/>
        <w:rPr>
          <w:rFonts w:ascii="Times New Roman" w:eastAsia="Times New Roman" w:hAnsi="Times New Roman"/>
          <w:sz w:val="28"/>
          <w:szCs w:val="28"/>
          <w:lang w:eastAsia="ru-RU"/>
        </w:rPr>
      </w:pPr>
      <w:r w:rsidRPr="00AD4624">
        <w:rPr>
          <w:rFonts w:ascii="Times New Roman" w:hAnsi="Times New Roman"/>
          <w:sz w:val="28"/>
          <w:szCs w:val="28"/>
          <w:lang w:eastAsia="ru-RU"/>
        </w:rPr>
        <w:t>Среднемесячная номинальная начисленная заработная плата работников муниципальных общеобразовательных учреждений муниципального образования за 201</w:t>
      </w:r>
      <w:r w:rsidR="00514FF6" w:rsidRPr="00AD4624">
        <w:rPr>
          <w:rFonts w:ascii="Times New Roman" w:hAnsi="Times New Roman"/>
          <w:sz w:val="28"/>
          <w:szCs w:val="28"/>
          <w:lang w:eastAsia="ru-RU"/>
        </w:rPr>
        <w:t>7</w:t>
      </w:r>
      <w:r w:rsidRPr="00AD4624">
        <w:rPr>
          <w:rFonts w:ascii="Times New Roman" w:hAnsi="Times New Roman"/>
          <w:sz w:val="28"/>
          <w:szCs w:val="28"/>
          <w:lang w:eastAsia="ru-RU"/>
        </w:rPr>
        <w:t xml:space="preserve"> год составила в среднем </w:t>
      </w:r>
      <w:r w:rsidR="00490344">
        <w:rPr>
          <w:rFonts w:ascii="Times New Roman" w:hAnsi="Times New Roman"/>
          <w:sz w:val="28"/>
          <w:szCs w:val="28"/>
          <w:lang w:eastAsia="ru-RU"/>
        </w:rPr>
        <w:t xml:space="preserve"> </w:t>
      </w:r>
      <w:r w:rsidR="00514FF6" w:rsidRPr="00AD4624">
        <w:rPr>
          <w:rFonts w:ascii="Times New Roman" w:eastAsia="Times New Roman" w:hAnsi="Times New Roman"/>
          <w:sz w:val="28"/>
          <w:szCs w:val="28"/>
          <w:lang w:eastAsia="ru-RU"/>
        </w:rPr>
        <w:t xml:space="preserve">22 959,60 </w:t>
      </w:r>
      <w:r w:rsidRPr="00AD4624">
        <w:rPr>
          <w:rFonts w:ascii="Times New Roman" w:hAnsi="Times New Roman"/>
          <w:sz w:val="28"/>
          <w:szCs w:val="28"/>
          <w:lang w:eastAsia="ru-RU"/>
        </w:rPr>
        <w:t>руб. и выросла к уровню 201</w:t>
      </w:r>
      <w:r w:rsidR="00514FF6" w:rsidRPr="00AD4624">
        <w:rPr>
          <w:rFonts w:ascii="Times New Roman" w:hAnsi="Times New Roman"/>
          <w:sz w:val="28"/>
          <w:szCs w:val="28"/>
          <w:lang w:eastAsia="ru-RU"/>
        </w:rPr>
        <w:t>6</w:t>
      </w:r>
      <w:r w:rsidRPr="00AD4624">
        <w:rPr>
          <w:rFonts w:ascii="Times New Roman" w:hAnsi="Times New Roman"/>
          <w:sz w:val="28"/>
          <w:szCs w:val="28"/>
          <w:lang w:eastAsia="ru-RU"/>
        </w:rPr>
        <w:t xml:space="preserve"> года на </w:t>
      </w:r>
      <w:r w:rsidR="00B87CBD" w:rsidRPr="00AD4624">
        <w:rPr>
          <w:rFonts w:ascii="Times New Roman" w:hAnsi="Times New Roman"/>
          <w:sz w:val="28"/>
          <w:szCs w:val="28"/>
          <w:lang w:eastAsia="ru-RU"/>
        </w:rPr>
        <w:t>2</w:t>
      </w:r>
      <w:r w:rsidR="00514FF6" w:rsidRPr="00AD4624">
        <w:rPr>
          <w:rFonts w:ascii="Times New Roman" w:hAnsi="Times New Roman"/>
          <w:sz w:val="28"/>
          <w:szCs w:val="28"/>
          <w:lang w:eastAsia="ru-RU"/>
        </w:rPr>
        <w:t>,5</w:t>
      </w:r>
      <w:r w:rsidRPr="00AD4624">
        <w:rPr>
          <w:rFonts w:ascii="Times New Roman" w:hAnsi="Times New Roman"/>
          <w:sz w:val="28"/>
          <w:szCs w:val="28"/>
          <w:lang w:eastAsia="ru-RU"/>
        </w:rPr>
        <w:t xml:space="preserve"> %.</w:t>
      </w:r>
    </w:p>
    <w:p w:rsidR="00DF0C1C" w:rsidRPr="00B314AD" w:rsidRDefault="0034035A" w:rsidP="00911873">
      <w:pPr>
        <w:spacing w:after="0" w:line="240" w:lineRule="auto"/>
        <w:ind w:firstLine="709"/>
        <w:jc w:val="both"/>
        <w:rPr>
          <w:rFonts w:ascii="Times New Roman" w:hAnsi="Times New Roman"/>
          <w:sz w:val="28"/>
          <w:szCs w:val="20"/>
          <w:highlight w:val="yellow"/>
          <w:lang w:eastAsia="ru-RU"/>
        </w:rPr>
      </w:pPr>
      <w:r w:rsidRPr="00514FF6">
        <w:rPr>
          <w:rFonts w:ascii="Times New Roman" w:hAnsi="Times New Roman"/>
          <w:noProof/>
          <w:sz w:val="28"/>
          <w:szCs w:val="20"/>
          <w:lang w:eastAsia="ru-RU"/>
        </w:rPr>
        <w:drawing>
          <wp:inline distT="0" distB="0" distL="0" distR="0">
            <wp:extent cx="5486400" cy="3638550"/>
            <wp:effectExtent l="19050" t="0" r="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EB3B76">
        <w:rPr>
          <w:rFonts w:ascii="Times New Roman" w:hAnsi="Times New Roman"/>
          <w:sz w:val="28"/>
          <w:szCs w:val="20"/>
          <w:highlight w:val="yellow"/>
          <w:lang w:eastAsia="ru-RU"/>
        </w:rPr>
        <w:t xml:space="preserve"> </w:t>
      </w:r>
    </w:p>
    <w:p w:rsidR="00A01669" w:rsidRPr="00EB3B76" w:rsidRDefault="00A01669" w:rsidP="00911873">
      <w:pPr>
        <w:autoSpaceDE w:val="0"/>
        <w:autoSpaceDN w:val="0"/>
        <w:adjustRightInd w:val="0"/>
        <w:spacing w:after="0" w:line="240" w:lineRule="auto"/>
        <w:ind w:firstLine="709"/>
        <w:jc w:val="both"/>
        <w:rPr>
          <w:rFonts w:ascii="Times New Roman" w:hAnsi="Times New Roman"/>
          <w:b/>
          <w:sz w:val="28"/>
          <w:szCs w:val="28"/>
          <w:u w:val="single"/>
        </w:rPr>
      </w:pPr>
      <w:r w:rsidRPr="00EB3B76">
        <w:rPr>
          <w:rFonts w:ascii="Times New Roman" w:hAnsi="Times New Roman"/>
          <w:b/>
          <w:sz w:val="28"/>
          <w:szCs w:val="28"/>
          <w:u w:val="single"/>
        </w:rPr>
        <w:t>Дошкольное образование</w:t>
      </w:r>
    </w:p>
    <w:p w:rsidR="00A01669" w:rsidRPr="00EB3B76" w:rsidRDefault="00A01669" w:rsidP="00490344">
      <w:pPr>
        <w:autoSpaceDE w:val="0"/>
        <w:autoSpaceDN w:val="0"/>
        <w:adjustRightInd w:val="0"/>
        <w:spacing w:after="0" w:line="240" w:lineRule="auto"/>
        <w:ind w:firstLine="709"/>
        <w:jc w:val="both"/>
        <w:rPr>
          <w:rFonts w:ascii="Times New Roman" w:hAnsi="Times New Roman"/>
          <w:sz w:val="28"/>
          <w:szCs w:val="28"/>
          <w:lang w:eastAsia="ru-RU"/>
        </w:rPr>
      </w:pPr>
      <w:r w:rsidRPr="00EB3B76">
        <w:rPr>
          <w:rFonts w:ascii="Times New Roman" w:hAnsi="Times New Roman"/>
          <w:sz w:val="28"/>
          <w:szCs w:val="28"/>
          <w:lang w:eastAsia="ru-RU"/>
        </w:rPr>
        <w:t xml:space="preserve">Реализация государственной политики в сфере дошкольного образования, направленной на обеспечение конституционных прав </w:t>
      </w:r>
      <w:proofErr w:type="gramStart"/>
      <w:r w:rsidRPr="00EB3B76">
        <w:rPr>
          <w:rFonts w:ascii="Times New Roman" w:hAnsi="Times New Roman"/>
          <w:sz w:val="28"/>
          <w:szCs w:val="28"/>
          <w:lang w:eastAsia="ru-RU"/>
        </w:rPr>
        <w:t>граждан</w:t>
      </w:r>
      <w:proofErr w:type="gramEnd"/>
      <w:r w:rsidRPr="00EB3B76">
        <w:rPr>
          <w:rFonts w:ascii="Times New Roman" w:hAnsi="Times New Roman"/>
          <w:sz w:val="28"/>
          <w:szCs w:val="28"/>
          <w:lang w:eastAsia="ru-RU"/>
        </w:rPr>
        <w:t xml:space="preserve"> на получение дошкольного образования и расширение возможности </w:t>
      </w:r>
      <w:r w:rsidRPr="00EB3B76">
        <w:rPr>
          <w:rFonts w:ascii="Times New Roman" w:hAnsi="Times New Roman"/>
          <w:sz w:val="28"/>
          <w:szCs w:val="28"/>
          <w:lang w:eastAsia="ru-RU"/>
        </w:rPr>
        <w:lastRenderedPageBreak/>
        <w:t>удовлетворения потребностей населения в дошкольном образовании, является приоритетной.</w:t>
      </w:r>
    </w:p>
    <w:p w:rsidR="006C5A19" w:rsidRPr="00EB3B76" w:rsidRDefault="006C5A19" w:rsidP="00490344">
      <w:pPr>
        <w:autoSpaceDE w:val="0"/>
        <w:autoSpaceDN w:val="0"/>
        <w:adjustRightInd w:val="0"/>
        <w:spacing w:after="0" w:line="240" w:lineRule="auto"/>
        <w:ind w:firstLine="709"/>
        <w:jc w:val="both"/>
        <w:rPr>
          <w:rFonts w:ascii="Times New Roman" w:hAnsi="Times New Roman"/>
          <w:sz w:val="28"/>
          <w:szCs w:val="28"/>
          <w:lang w:eastAsia="ru-RU"/>
        </w:rPr>
      </w:pPr>
      <w:r w:rsidRPr="00EB3B76">
        <w:rPr>
          <w:rFonts w:ascii="Times New Roman" w:hAnsi="Times New Roman"/>
          <w:sz w:val="28"/>
          <w:szCs w:val="28"/>
        </w:rPr>
        <w:t>В муниципальной системе образования Кимовского района функционирует 36 образовательных учреждений, из них: 21 школа, 13 садов  и 2 учреждения дополнительного образования детей.</w:t>
      </w:r>
    </w:p>
    <w:p w:rsidR="00D975FD" w:rsidRPr="00EB3B76" w:rsidRDefault="00617BC0" w:rsidP="00490344">
      <w:pPr>
        <w:pStyle w:val="a6"/>
        <w:ind w:firstLine="709"/>
        <w:jc w:val="both"/>
        <w:rPr>
          <w:rFonts w:ascii="Times New Roman" w:hAnsi="Times New Roman" w:cs="Times New Roman"/>
          <w:noProof/>
          <w:sz w:val="28"/>
          <w:szCs w:val="28"/>
        </w:rPr>
      </w:pPr>
      <w:r w:rsidRPr="00EB3B76">
        <w:rPr>
          <w:rFonts w:ascii="Times New Roman" w:hAnsi="Times New Roman"/>
          <w:sz w:val="28"/>
          <w:szCs w:val="28"/>
        </w:rPr>
        <w:t>В рамках исполнения Указа Президента Российской Федерации от 7 мая 2012 года № 599 «О мерах по реализации государственной политики в области образования и науки», в соответствии с полномочиями местного самоуправления по предоставлению общедоступного дошкольного образования в</w:t>
      </w:r>
      <w:r w:rsidR="00A01669" w:rsidRPr="00EB3B76">
        <w:rPr>
          <w:rFonts w:ascii="Times New Roman" w:hAnsi="Times New Roman"/>
          <w:sz w:val="28"/>
          <w:szCs w:val="28"/>
        </w:rPr>
        <w:t xml:space="preserve"> Кимовском районе отсутствует очередность по устройству детей в муниципальные дошкольные образовательные учреждения.</w:t>
      </w:r>
      <w:r w:rsidR="00D975FD" w:rsidRPr="00EB3B76">
        <w:rPr>
          <w:rFonts w:ascii="Times New Roman" w:hAnsi="Times New Roman"/>
          <w:sz w:val="28"/>
          <w:szCs w:val="28"/>
        </w:rPr>
        <w:t xml:space="preserve"> </w:t>
      </w:r>
    </w:p>
    <w:p w:rsidR="00890CFA" w:rsidRPr="00EB3B76" w:rsidRDefault="00890CFA" w:rsidP="00490344">
      <w:pPr>
        <w:spacing w:after="0" w:line="240" w:lineRule="auto"/>
        <w:ind w:firstLine="709"/>
        <w:jc w:val="both"/>
        <w:rPr>
          <w:rFonts w:ascii="Times New Roman" w:hAnsi="Times New Roman"/>
          <w:sz w:val="28"/>
          <w:szCs w:val="28"/>
        </w:rPr>
      </w:pPr>
      <w:r w:rsidRPr="00EB3B76">
        <w:rPr>
          <w:rFonts w:ascii="Times New Roman" w:hAnsi="Times New Roman"/>
          <w:sz w:val="28"/>
          <w:szCs w:val="28"/>
        </w:rPr>
        <w:t>Изменение демографической ситуации оказывает влияние на положение дел во всех уровнях системы образования, в том числе и на дошкольное образование.</w:t>
      </w:r>
    </w:p>
    <w:p w:rsidR="00890CFA" w:rsidRPr="00EB3B76" w:rsidRDefault="00890CFA" w:rsidP="00490344">
      <w:pPr>
        <w:pStyle w:val="a4"/>
        <w:spacing w:after="0" w:line="240" w:lineRule="auto"/>
        <w:ind w:left="0" w:firstLine="709"/>
        <w:jc w:val="both"/>
        <w:rPr>
          <w:rFonts w:ascii="Times New Roman" w:hAnsi="Times New Roman"/>
          <w:sz w:val="28"/>
          <w:szCs w:val="28"/>
        </w:rPr>
      </w:pPr>
      <w:r w:rsidRPr="00EB3B76">
        <w:rPr>
          <w:rFonts w:ascii="Times New Roman" w:hAnsi="Times New Roman"/>
          <w:sz w:val="28"/>
          <w:szCs w:val="28"/>
        </w:rPr>
        <w:t>В районе создана и развивается вариативная и многофункциональная сеть образовательных учреждений, реализующих основную общеобразовательную программу дошкольного образования: - детские сады общеразвивающего, комбинированного и компенсирующего видов.</w:t>
      </w:r>
    </w:p>
    <w:p w:rsidR="006C5A19" w:rsidRPr="00EB3B76" w:rsidRDefault="006C5A19" w:rsidP="0049034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3B76">
        <w:rPr>
          <w:rFonts w:ascii="TimesNewRomanPSMT" w:hAnsi="TimesNewRomanPSMT" w:cs="TimesNewRomanPSMT"/>
          <w:sz w:val="28"/>
          <w:szCs w:val="28"/>
          <w:lang w:eastAsia="ru-RU"/>
        </w:rPr>
        <w:t xml:space="preserve">В целях обеспечения доступности дошкольного образования всем слоям населения в районе созданы условия по предоставлению услуги по приему заявлений, постановке на учет и зачислению в дошкольные образовательные организации в электронном виде. </w:t>
      </w:r>
    </w:p>
    <w:p w:rsidR="00BB0A5F" w:rsidRPr="00EB3B76" w:rsidRDefault="00A01669" w:rsidP="00490344">
      <w:pPr>
        <w:spacing w:after="0" w:line="240" w:lineRule="auto"/>
        <w:ind w:firstLine="708"/>
        <w:jc w:val="both"/>
        <w:rPr>
          <w:rFonts w:ascii="Times New Roman" w:hAnsi="Times New Roman"/>
          <w:sz w:val="28"/>
          <w:szCs w:val="28"/>
          <w:lang w:eastAsia="ru-RU"/>
        </w:rPr>
      </w:pPr>
      <w:r w:rsidRPr="00EB3B76">
        <w:rPr>
          <w:rFonts w:ascii="Times New Roman" w:hAnsi="Times New Roman"/>
          <w:sz w:val="28"/>
          <w:szCs w:val="28"/>
          <w:lang w:eastAsia="ru-RU"/>
        </w:rPr>
        <w:t>В течение последних лет растет уровень детей в возрасте 1-6 лет, получающих дошкольную образовательную услугу в общей численности детей  в возрасте 1-6 лет. За 201</w:t>
      </w:r>
      <w:r w:rsidR="00EB3B76" w:rsidRPr="00EB3B76">
        <w:rPr>
          <w:rFonts w:ascii="Times New Roman" w:hAnsi="Times New Roman"/>
          <w:sz w:val="28"/>
          <w:szCs w:val="28"/>
          <w:lang w:eastAsia="ru-RU"/>
        </w:rPr>
        <w:t>7</w:t>
      </w:r>
      <w:r w:rsidRPr="00EB3B76">
        <w:rPr>
          <w:rFonts w:ascii="Times New Roman" w:hAnsi="Times New Roman"/>
          <w:sz w:val="28"/>
          <w:szCs w:val="28"/>
          <w:lang w:eastAsia="ru-RU"/>
        </w:rPr>
        <w:t xml:space="preserve"> год этот показатель составил </w:t>
      </w:r>
      <w:r w:rsidR="00EB3B76" w:rsidRPr="00EB3B76">
        <w:rPr>
          <w:rFonts w:ascii="Times New Roman" w:hAnsi="Times New Roman"/>
          <w:sz w:val="28"/>
          <w:szCs w:val="28"/>
          <w:lang w:eastAsia="ru-RU"/>
        </w:rPr>
        <w:t>59,7</w:t>
      </w:r>
      <w:r w:rsidRPr="00EB3B76">
        <w:rPr>
          <w:rFonts w:ascii="Times New Roman" w:hAnsi="Times New Roman"/>
          <w:sz w:val="28"/>
          <w:szCs w:val="28"/>
          <w:lang w:eastAsia="ru-RU"/>
        </w:rPr>
        <w:t xml:space="preserve"> процентов</w:t>
      </w:r>
      <w:r w:rsidR="00352D94" w:rsidRPr="00EB3B76">
        <w:rPr>
          <w:rFonts w:ascii="Times New Roman" w:hAnsi="Times New Roman"/>
          <w:sz w:val="28"/>
          <w:szCs w:val="28"/>
          <w:lang w:eastAsia="ru-RU"/>
        </w:rPr>
        <w:t>.</w:t>
      </w:r>
      <w:r w:rsidR="006147FC" w:rsidRPr="00EB3B76">
        <w:rPr>
          <w:rFonts w:ascii="Times New Roman" w:hAnsi="Times New Roman"/>
          <w:sz w:val="28"/>
          <w:szCs w:val="28"/>
          <w:lang w:eastAsia="ru-RU"/>
        </w:rPr>
        <w:t xml:space="preserve"> </w:t>
      </w:r>
      <w:r w:rsidR="00A1236E" w:rsidRPr="00EB3B76">
        <w:rPr>
          <w:rFonts w:ascii="Times New Roman" w:hAnsi="Times New Roman"/>
          <w:sz w:val="28"/>
          <w:szCs w:val="28"/>
          <w:lang w:eastAsia="ru-RU"/>
        </w:rPr>
        <w:t>К 20</w:t>
      </w:r>
      <w:r w:rsidR="00EB3B76" w:rsidRPr="00EB3B76">
        <w:rPr>
          <w:rFonts w:ascii="Times New Roman" w:hAnsi="Times New Roman"/>
          <w:sz w:val="28"/>
          <w:szCs w:val="28"/>
          <w:lang w:eastAsia="ru-RU"/>
        </w:rPr>
        <w:t>20</w:t>
      </w:r>
      <w:r w:rsidR="00A1236E" w:rsidRPr="00EB3B76">
        <w:rPr>
          <w:rFonts w:ascii="Times New Roman" w:hAnsi="Times New Roman"/>
          <w:sz w:val="28"/>
          <w:szCs w:val="28"/>
          <w:lang w:eastAsia="ru-RU"/>
        </w:rPr>
        <w:t xml:space="preserve"> году данный показатель планируется на уровне </w:t>
      </w:r>
      <w:r w:rsidR="00EB3B76" w:rsidRPr="00EB3B76">
        <w:rPr>
          <w:rFonts w:ascii="Times New Roman" w:hAnsi="Times New Roman"/>
          <w:sz w:val="28"/>
          <w:szCs w:val="28"/>
          <w:lang w:eastAsia="ru-RU"/>
        </w:rPr>
        <w:t>70</w:t>
      </w:r>
      <w:r w:rsidR="00A1236E" w:rsidRPr="00EB3B76">
        <w:rPr>
          <w:rFonts w:ascii="Times New Roman" w:hAnsi="Times New Roman"/>
          <w:sz w:val="28"/>
          <w:szCs w:val="28"/>
          <w:lang w:eastAsia="ru-RU"/>
        </w:rPr>
        <w:t xml:space="preserve"> процентов.</w:t>
      </w:r>
    </w:p>
    <w:p w:rsidR="00843260" w:rsidRPr="00B314AD" w:rsidRDefault="00DA3713" w:rsidP="00911873">
      <w:pPr>
        <w:spacing w:after="0" w:line="240" w:lineRule="auto"/>
        <w:ind w:firstLine="708"/>
        <w:jc w:val="both"/>
        <w:rPr>
          <w:rFonts w:ascii="Times New Roman" w:hAnsi="Times New Roman"/>
          <w:b/>
          <w:sz w:val="28"/>
          <w:szCs w:val="28"/>
          <w:highlight w:val="yellow"/>
          <w:lang w:eastAsia="ru-RU"/>
        </w:rPr>
      </w:pPr>
      <w:r w:rsidRPr="00EB3B76">
        <w:rPr>
          <w:rFonts w:ascii="Times New Roman" w:hAnsi="Times New Roman"/>
          <w:b/>
          <w:noProof/>
          <w:sz w:val="28"/>
          <w:szCs w:val="28"/>
          <w:lang w:eastAsia="ru-RU"/>
        </w:rPr>
        <w:drawing>
          <wp:inline distT="0" distB="0" distL="0" distR="0">
            <wp:extent cx="5486400" cy="32004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06BB7" w:rsidRPr="007B6576" w:rsidRDefault="002A3E4A" w:rsidP="00911873">
      <w:pPr>
        <w:spacing w:after="0" w:line="240" w:lineRule="auto"/>
        <w:ind w:firstLine="708"/>
        <w:jc w:val="both"/>
        <w:rPr>
          <w:rFonts w:ascii="Times New Roman" w:hAnsi="Times New Roman"/>
          <w:sz w:val="28"/>
          <w:szCs w:val="28"/>
          <w:lang w:eastAsia="ru-RU"/>
        </w:rPr>
      </w:pPr>
      <w:r w:rsidRPr="007B6576">
        <w:rPr>
          <w:rFonts w:ascii="Times New Roman" w:hAnsi="Times New Roman"/>
          <w:sz w:val="28"/>
          <w:szCs w:val="28"/>
          <w:lang w:eastAsia="ru-RU"/>
        </w:rPr>
        <w:lastRenderedPageBreak/>
        <w:t>В районе отсутствуют здания муниципальных дошкольных  образовательных учреждений, находящихся в аварийном состоянии или требующи</w:t>
      </w:r>
      <w:r w:rsidR="007E6CE6" w:rsidRPr="007B6576">
        <w:rPr>
          <w:rFonts w:ascii="Times New Roman" w:hAnsi="Times New Roman"/>
          <w:sz w:val="28"/>
          <w:szCs w:val="28"/>
          <w:lang w:eastAsia="ru-RU"/>
        </w:rPr>
        <w:t>х</w:t>
      </w:r>
      <w:r w:rsidRPr="007B6576">
        <w:rPr>
          <w:rFonts w:ascii="Times New Roman" w:hAnsi="Times New Roman"/>
          <w:sz w:val="28"/>
          <w:szCs w:val="28"/>
          <w:lang w:eastAsia="ru-RU"/>
        </w:rPr>
        <w:t xml:space="preserve"> капитального ремонта.</w:t>
      </w:r>
      <w:r w:rsidR="00616F93" w:rsidRPr="007B6576">
        <w:rPr>
          <w:rFonts w:ascii="Times New Roman" w:hAnsi="Times New Roman"/>
          <w:sz w:val="28"/>
          <w:szCs w:val="28"/>
          <w:lang w:eastAsia="ru-RU"/>
        </w:rPr>
        <w:t xml:space="preserve"> </w:t>
      </w:r>
    </w:p>
    <w:p w:rsidR="00C1361C" w:rsidRPr="007B6576" w:rsidRDefault="00C1361C" w:rsidP="00911873">
      <w:pPr>
        <w:spacing w:after="0" w:line="240" w:lineRule="auto"/>
        <w:ind w:firstLine="708"/>
        <w:jc w:val="both"/>
        <w:rPr>
          <w:rFonts w:ascii="Times New Roman" w:hAnsi="Times New Roman"/>
          <w:b/>
          <w:sz w:val="28"/>
          <w:szCs w:val="28"/>
          <w:u w:val="single"/>
        </w:rPr>
      </w:pPr>
      <w:r w:rsidRPr="007B6576">
        <w:rPr>
          <w:rFonts w:ascii="Times New Roman" w:hAnsi="Times New Roman"/>
          <w:b/>
          <w:sz w:val="28"/>
          <w:szCs w:val="28"/>
          <w:u w:val="single"/>
        </w:rPr>
        <w:t>Общее образование</w:t>
      </w:r>
    </w:p>
    <w:p w:rsidR="00242AE0" w:rsidRPr="00000C57" w:rsidRDefault="00242AE0" w:rsidP="00911873">
      <w:pPr>
        <w:autoSpaceDE w:val="0"/>
        <w:autoSpaceDN w:val="0"/>
        <w:adjustRightInd w:val="0"/>
        <w:spacing w:after="0" w:line="240" w:lineRule="auto"/>
        <w:ind w:firstLine="709"/>
        <w:jc w:val="both"/>
        <w:rPr>
          <w:rFonts w:ascii="Times New Roman" w:hAnsi="Times New Roman"/>
          <w:kern w:val="28"/>
          <w:sz w:val="28"/>
          <w:szCs w:val="28"/>
        </w:rPr>
      </w:pPr>
      <w:r w:rsidRPr="00000C57">
        <w:rPr>
          <w:rFonts w:ascii="Times New Roman" w:hAnsi="Times New Roman"/>
          <w:kern w:val="28"/>
          <w:sz w:val="28"/>
          <w:szCs w:val="28"/>
        </w:rPr>
        <w:t>Развитие системы общего образования осуществляется в направлениях, обеспечивающих доступность качественного образования для всех слоев населения и достижение показателей, установленных в майских указах Президента Российской Федерации.</w:t>
      </w:r>
    </w:p>
    <w:p w:rsidR="00242AE0" w:rsidRPr="00000C57" w:rsidRDefault="0037561F" w:rsidP="00911873">
      <w:pPr>
        <w:autoSpaceDE w:val="0"/>
        <w:autoSpaceDN w:val="0"/>
        <w:adjustRightInd w:val="0"/>
        <w:spacing w:after="0" w:line="240" w:lineRule="auto"/>
        <w:ind w:firstLine="709"/>
        <w:jc w:val="both"/>
        <w:rPr>
          <w:rFonts w:ascii="Times New Roman" w:hAnsi="Times New Roman"/>
          <w:kern w:val="28"/>
          <w:sz w:val="28"/>
          <w:szCs w:val="28"/>
        </w:rPr>
      </w:pPr>
      <w:r w:rsidRPr="00000C57">
        <w:rPr>
          <w:rFonts w:ascii="Times New Roman" w:hAnsi="Times New Roman"/>
          <w:sz w:val="28"/>
          <w:szCs w:val="28"/>
        </w:rPr>
        <w:t>На территории муниципального образования успешно реализуется муниципальная программа «Развитие образования в муниципальном образовании Кимовский район на 2014-2020 годы», утвержденная постановлением администрации муниципального образования Кимовский район  от 23 мая 2014г. № 829</w:t>
      </w:r>
      <w:r w:rsidR="004D6C1B" w:rsidRPr="00000C57">
        <w:rPr>
          <w:rFonts w:ascii="Times New Roman" w:hAnsi="Times New Roman"/>
          <w:sz w:val="28"/>
          <w:szCs w:val="28"/>
        </w:rPr>
        <w:t>, реализуются планы оптимизации сети образовательных учреждений с целью улучшения качества образования при одновременном повышении эффективности использования бюджетных средств</w:t>
      </w:r>
      <w:r w:rsidRPr="00000C57">
        <w:rPr>
          <w:rFonts w:ascii="Times New Roman" w:hAnsi="Times New Roman"/>
          <w:sz w:val="28"/>
          <w:szCs w:val="28"/>
        </w:rPr>
        <w:t>.</w:t>
      </w:r>
    </w:p>
    <w:p w:rsidR="00843260" w:rsidRPr="009F27F7" w:rsidRDefault="006C54DB" w:rsidP="008F1371">
      <w:pPr>
        <w:spacing w:after="0" w:line="240" w:lineRule="auto"/>
        <w:ind w:firstLine="709"/>
        <w:jc w:val="both"/>
        <w:rPr>
          <w:rFonts w:ascii="Times New Roman" w:hAnsi="Times New Roman"/>
          <w:sz w:val="28"/>
          <w:szCs w:val="28"/>
          <w:lang w:eastAsia="ru-RU"/>
        </w:rPr>
      </w:pPr>
      <w:r w:rsidRPr="009F27F7">
        <w:rPr>
          <w:rFonts w:ascii="Times New Roman" w:hAnsi="Times New Roman"/>
          <w:sz w:val="28"/>
          <w:szCs w:val="28"/>
          <w:lang w:eastAsia="ru-RU"/>
        </w:rPr>
        <w:t>Одним из показателей эффективности деятельности органов местного самоуправления по повышению качества общего образования являются результаты государственной (итоговой) аттестации выпускников.</w:t>
      </w:r>
    </w:p>
    <w:p w:rsidR="006C54DB" w:rsidRPr="008F7FA3" w:rsidRDefault="008F1371" w:rsidP="00911873">
      <w:pPr>
        <w:spacing w:after="0" w:line="240" w:lineRule="auto"/>
        <w:ind w:firstLine="709"/>
        <w:jc w:val="both"/>
        <w:rPr>
          <w:rFonts w:ascii="Times New Roman" w:hAnsi="Times New Roman"/>
          <w:sz w:val="28"/>
          <w:szCs w:val="28"/>
          <w:lang w:eastAsia="ru-RU"/>
        </w:rPr>
      </w:pPr>
      <w:r w:rsidRPr="008F7FA3">
        <w:rPr>
          <w:rFonts w:ascii="Times New Roman" w:hAnsi="Times New Roman"/>
          <w:sz w:val="28"/>
          <w:szCs w:val="28"/>
          <w:lang w:eastAsia="ru-RU"/>
        </w:rPr>
        <w:t>В</w:t>
      </w:r>
      <w:r w:rsidR="00243B27" w:rsidRPr="008F7FA3">
        <w:rPr>
          <w:rFonts w:ascii="Times New Roman" w:hAnsi="Times New Roman"/>
          <w:sz w:val="28"/>
          <w:szCs w:val="28"/>
          <w:lang w:eastAsia="ru-RU"/>
        </w:rPr>
        <w:t xml:space="preserve"> </w:t>
      </w:r>
      <w:r w:rsidR="0037561F" w:rsidRPr="008F7FA3">
        <w:rPr>
          <w:rFonts w:ascii="Times New Roman" w:hAnsi="Times New Roman"/>
          <w:sz w:val="28"/>
          <w:szCs w:val="28"/>
          <w:lang w:eastAsia="ru-RU"/>
        </w:rPr>
        <w:t>отчетном</w:t>
      </w:r>
      <w:r w:rsidR="006C54DB" w:rsidRPr="008F7FA3">
        <w:rPr>
          <w:rFonts w:ascii="Times New Roman" w:hAnsi="Times New Roman"/>
          <w:sz w:val="28"/>
          <w:szCs w:val="28"/>
          <w:lang w:eastAsia="ru-RU"/>
        </w:rPr>
        <w:t xml:space="preserve"> году доля выпускников, не получивших аттестат о среднем (полном) общем образовании, составила по </w:t>
      </w:r>
      <w:r w:rsidR="00C94AF5" w:rsidRPr="008F7FA3">
        <w:rPr>
          <w:rFonts w:ascii="Times New Roman" w:hAnsi="Times New Roman"/>
          <w:sz w:val="28"/>
          <w:szCs w:val="28"/>
          <w:lang w:eastAsia="ru-RU"/>
        </w:rPr>
        <w:t>району</w:t>
      </w:r>
      <w:r w:rsidR="006C54DB" w:rsidRPr="008F7FA3">
        <w:rPr>
          <w:rFonts w:ascii="Times New Roman" w:hAnsi="Times New Roman"/>
          <w:sz w:val="28"/>
          <w:szCs w:val="28"/>
          <w:lang w:eastAsia="ru-RU"/>
        </w:rPr>
        <w:t xml:space="preserve"> </w:t>
      </w:r>
      <w:r w:rsidR="00243B27" w:rsidRPr="008F7FA3">
        <w:rPr>
          <w:rFonts w:ascii="Times New Roman" w:hAnsi="Times New Roman"/>
          <w:sz w:val="28"/>
          <w:szCs w:val="28"/>
          <w:lang w:eastAsia="ru-RU"/>
        </w:rPr>
        <w:t>1,</w:t>
      </w:r>
      <w:r w:rsidR="008F7FA3" w:rsidRPr="008F7FA3">
        <w:rPr>
          <w:rFonts w:ascii="Times New Roman" w:hAnsi="Times New Roman"/>
          <w:sz w:val="28"/>
          <w:szCs w:val="28"/>
          <w:lang w:eastAsia="ru-RU"/>
        </w:rPr>
        <w:t>77</w:t>
      </w:r>
      <w:r w:rsidR="00902495" w:rsidRPr="008F7FA3">
        <w:rPr>
          <w:rFonts w:ascii="Times New Roman" w:hAnsi="Times New Roman"/>
          <w:sz w:val="28"/>
          <w:szCs w:val="28"/>
          <w:lang w:eastAsia="ru-RU"/>
        </w:rPr>
        <w:t xml:space="preserve"> </w:t>
      </w:r>
      <w:r w:rsidR="008F7FA3" w:rsidRPr="008F7FA3">
        <w:rPr>
          <w:rFonts w:ascii="Times New Roman" w:hAnsi="Times New Roman"/>
          <w:sz w:val="28"/>
          <w:szCs w:val="28"/>
          <w:lang w:eastAsia="ru-RU"/>
        </w:rPr>
        <w:t>%.</w:t>
      </w:r>
    </w:p>
    <w:p w:rsidR="009A6A89" w:rsidRPr="00FB1571" w:rsidRDefault="009A6A89" w:rsidP="00911873">
      <w:pPr>
        <w:spacing w:after="0" w:line="240" w:lineRule="auto"/>
        <w:ind w:firstLine="708"/>
        <w:jc w:val="both"/>
        <w:rPr>
          <w:rFonts w:ascii="Times New Roman" w:hAnsi="Times New Roman"/>
          <w:sz w:val="28"/>
          <w:szCs w:val="28"/>
          <w:lang w:eastAsia="ru-RU"/>
        </w:rPr>
      </w:pPr>
      <w:r w:rsidRPr="00FB1571">
        <w:rPr>
          <w:rFonts w:ascii="Times New Roman" w:hAnsi="Times New Roman"/>
          <w:sz w:val="28"/>
          <w:szCs w:val="28"/>
          <w:lang w:eastAsia="ru-RU"/>
        </w:rPr>
        <w:t xml:space="preserve">Все </w:t>
      </w:r>
      <w:r w:rsidR="006314E6" w:rsidRPr="00FB1571">
        <w:rPr>
          <w:rFonts w:ascii="Times New Roman" w:hAnsi="Times New Roman"/>
          <w:sz w:val="28"/>
          <w:szCs w:val="28"/>
          <w:lang w:eastAsia="ru-RU"/>
        </w:rPr>
        <w:t>общеобразовательны</w:t>
      </w:r>
      <w:r w:rsidRPr="00FB1571">
        <w:rPr>
          <w:rFonts w:ascii="Times New Roman" w:hAnsi="Times New Roman"/>
          <w:sz w:val="28"/>
          <w:szCs w:val="28"/>
          <w:lang w:eastAsia="ru-RU"/>
        </w:rPr>
        <w:t>е</w:t>
      </w:r>
      <w:r w:rsidR="006314E6" w:rsidRPr="00FB1571">
        <w:rPr>
          <w:rFonts w:ascii="Times New Roman" w:hAnsi="Times New Roman"/>
          <w:sz w:val="28"/>
          <w:szCs w:val="28"/>
          <w:lang w:eastAsia="ru-RU"/>
        </w:rPr>
        <w:t xml:space="preserve"> учреждени</w:t>
      </w:r>
      <w:r w:rsidRPr="00FB1571">
        <w:rPr>
          <w:rFonts w:ascii="Times New Roman" w:hAnsi="Times New Roman"/>
          <w:sz w:val="28"/>
          <w:szCs w:val="28"/>
          <w:lang w:eastAsia="ru-RU"/>
        </w:rPr>
        <w:t>я</w:t>
      </w:r>
      <w:r w:rsidR="006314E6" w:rsidRPr="00FB1571">
        <w:rPr>
          <w:rFonts w:ascii="Times New Roman" w:hAnsi="Times New Roman"/>
          <w:sz w:val="28"/>
          <w:szCs w:val="28"/>
          <w:lang w:eastAsia="ru-RU"/>
        </w:rPr>
        <w:t xml:space="preserve"> района соответствуют современным требованиям обучения</w:t>
      </w:r>
      <w:r w:rsidR="002B0A4F" w:rsidRPr="00FB1571">
        <w:rPr>
          <w:rFonts w:ascii="Times New Roman" w:hAnsi="Times New Roman"/>
          <w:sz w:val="28"/>
          <w:szCs w:val="28"/>
          <w:lang w:eastAsia="ru-RU"/>
        </w:rPr>
        <w:t>.</w:t>
      </w:r>
      <w:r w:rsidR="006314E6" w:rsidRPr="00FB1571">
        <w:rPr>
          <w:rFonts w:ascii="Times New Roman" w:hAnsi="Times New Roman"/>
          <w:sz w:val="28"/>
          <w:szCs w:val="28"/>
          <w:lang w:eastAsia="ru-RU"/>
        </w:rPr>
        <w:t xml:space="preserve"> </w:t>
      </w:r>
      <w:r w:rsidR="00A02B06" w:rsidRPr="00FB1571">
        <w:rPr>
          <w:rFonts w:ascii="Times New Roman" w:hAnsi="Times New Roman"/>
          <w:sz w:val="28"/>
          <w:szCs w:val="28"/>
          <w:lang w:eastAsia="ru-RU"/>
        </w:rPr>
        <w:t>В 201</w:t>
      </w:r>
      <w:r w:rsidR="00FB1571" w:rsidRPr="00FB1571">
        <w:rPr>
          <w:rFonts w:ascii="Times New Roman" w:hAnsi="Times New Roman"/>
          <w:sz w:val="28"/>
          <w:szCs w:val="28"/>
          <w:lang w:eastAsia="ru-RU"/>
        </w:rPr>
        <w:t>7</w:t>
      </w:r>
      <w:r w:rsidR="00A02B06" w:rsidRPr="00FB1571">
        <w:rPr>
          <w:rFonts w:ascii="Times New Roman" w:hAnsi="Times New Roman"/>
          <w:sz w:val="28"/>
          <w:szCs w:val="28"/>
          <w:lang w:eastAsia="ru-RU"/>
        </w:rPr>
        <w:t xml:space="preserve"> году отсутствуют</w:t>
      </w:r>
      <w:r w:rsidR="006314E6" w:rsidRPr="00FB1571">
        <w:rPr>
          <w:rFonts w:ascii="Times New Roman" w:hAnsi="Times New Roman"/>
          <w:sz w:val="28"/>
          <w:szCs w:val="28"/>
          <w:lang w:eastAsia="ru-RU"/>
        </w:rPr>
        <w:t xml:space="preserve"> аварийны</w:t>
      </w:r>
      <w:r w:rsidR="00A02B06" w:rsidRPr="00FB1571">
        <w:rPr>
          <w:rFonts w:ascii="Times New Roman" w:hAnsi="Times New Roman"/>
          <w:sz w:val="28"/>
          <w:szCs w:val="28"/>
          <w:lang w:eastAsia="ru-RU"/>
        </w:rPr>
        <w:t>е</w:t>
      </w:r>
      <w:r w:rsidR="006314E6" w:rsidRPr="00FB1571">
        <w:rPr>
          <w:rFonts w:ascii="Times New Roman" w:hAnsi="Times New Roman"/>
          <w:sz w:val="28"/>
          <w:szCs w:val="28"/>
          <w:lang w:eastAsia="ru-RU"/>
        </w:rPr>
        <w:t xml:space="preserve"> или требующи</w:t>
      </w:r>
      <w:r w:rsidR="00A02B06" w:rsidRPr="00FB1571">
        <w:rPr>
          <w:rFonts w:ascii="Times New Roman" w:hAnsi="Times New Roman"/>
          <w:sz w:val="28"/>
          <w:szCs w:val="28"/>
          <w:lang w:eastAsia="ru-RU"/>
        </w:rPr>
        <w:t>е</w:t>
      </w:r>
      <w:r w:rsidR="006314E6" w:rsidRPr="00FB1571">
        <w:rPr>
          <w:rFonts w:ascii="Times New Roman" w:hAnsi="Times New Roman"/>
          <w:sz w:val="28"/>
          <w:szCs w:val="28"/>
          <w:lang w:eastAsia="ru-RU"/>
        </w:rPr>
        <w:t xml:space="preserve"> капитального ремонта здани</w:t>
      </w:r>
      <w:r w:rsidR="00A02B06" w:rsidRPr="00FB1571">
        <w:rPr>
          <w:rFonts w:ascii="Times New Roman" w:hAnsi="Times New Roman"/>
          <w:sz w:val="28"/>
          <w:szCs w:val="28"/>
          <w:lang w:eastAsia="ru-RU"/>
        </w:rPr>
        <w:t>я</w:t>
      </w:r>
      <w:r w:rsidR="006314E6" w:rsidRPr="00FB1571">
        <w:rPr>
          <w:rFonts w:ascii="Times New Roman" w:hAnsi="Times New Roman"/>
          <w:sz w:val="28"/>
          <w:szCs w:val="28"/>
          <w:lang w:eastAsia="ru-RU"/>
        </w:rPr>
        <w:t xml:space="preserve"> муниципальных общеобразовательных учреждений. </w:t>
      </w:r>
    </w:p>
    <w:p w:rsidR="000E04EA" w:rsidRPr="009F27F7" w:rsidRDefault="00567CAD" w:rsidP="00911873">
      <w:pPr>
        <w:spacing w:after="0" w:line="240" w:lineRule="auto"/>
        <w:ind w:firstLine="708"/>
        <w:jc w:val="both"/>
        <w:rPr>
          <w:rFonts w:ascii="Times New Roman" w:hAnsi="Times New Roman"/>
          <w:sz w:val="28"/>
          <w:szCs w:val="28"/>
          <w:lang w:eastAsia="ru-RU"/>
        </w:rPr>
      </w:pPr>
      <w:r w:rsidRPr="009F27F7">
        <w:rPr>
          <w:rFonts w:ascii="Times New Roman" w:hAnsi="Times New Roman"/>
          <w:sz w:val="28"/>
          <w:szCs w:val="28"/>
          <w:lang w:eastAsia="ru-RU"/>
        </w:rPr>
        <w:t xml:space="preserve">В районе </w:t>
      </w:r>
      <w:r w:rsidR="00616F93" w:rsidRPr="009F27F7">
        <w:rPr>
          <w:rFonts w:ascii="Times New Roman" w:hAnsi="Times New Roman"/>
          <w:sz w:val="28"/>
          <w:szCs w:val="28"/>
          <w:lang w:eastAsia="ru-RU"/>
        </w:rPr>
        <w:t>нет</w:t>
      </w:r>
      <w:r w:rsidR="002B0A4F" w:rsidRPr="009F27F7">
        <w:rPr>
          <w:rFonts w:ascii="Times New Roman" w:hAnsi="Times New Roman"/>
          <w:sz w:val="28"/>
          <w:szCs w:val="28"/>
          <w:lang w:eastAsia="ru-RU"/>
        </w:rPr>
        <w:t xml:space="preserve"> школ</w:t>
      </w:r>
      <w:r w:rsidR="00492B16" w:rsidRPr="009F27F7">
        <w:rPr>
          <w:rFonts w:ascii="Times New Roman" w:hAnsi="Times New Roman"/>
          <w:sz w:val="28"/>
          <w:szCs w:val="28"/>
          <w:lang w:eastAsia="ru-RU"/>
        </w:rPr>
        <w:t>,</w:t>
      </w:r>
      <w:r w:rsidRPr="009F27F7">
        <w:rPr>
          <w:rFonts w:ascii="Times New Roman" w:hAnsi="Times New Roman"/>
          <w:sz w:val="28"/>
          <w:szCs w:val="28"/>
          <w:lang w:eastAsia="ru-RU"/>
        </w:rPr>
        <w:t xml:space="preserve"> работа</w:t>
      </w:r>
      <w:r w:rsidR="00492B16" w:rsidRPr="009F27F7">
        <w:rPr>
          <w:rFonts w:ascii="Times New Roman" w:hAnsi="Times New Roman"/>
          <w:sz w:val="28"/>
          <w:szCs w:val="28"/>
          <w:lang w:eastAsia="ru-RU"/>
        </w:rPr>
        <w:t>ющих</w:t>
      </w:r>
      <w:r w:rsidRPr="009F27F7">
        <w:rPr>
          <w:rFonts w:ascii="Times New Roman" w:hAnsi="Times New Roman"/>
          <w:sz w:val="28"/>
          <w:szCs w:val="28"/>
          <w:lang w:eastAsia="ru-RU"/>
        </w:rPr>
        <w:t xml:space="preserve"> в </w:t>
      </w:r>
      <w:r w:rsidR="002B0A4F" w:rsidRPr="009F27F7">
        <w:rPr>
          <w:rFonts w:ascii="Times New Roman" w:hAnsi="Times New Roman"/>
          <w:sz w:val="28"/>
          <w:szCs w:val="28"/>
          <w:lang w:eastAsia="ru-RU"/>
        </w:rPr>
        <w:t>2</w:t>
      </w:r>
      <w:r w:rsidRPr="009F27F7">
        <w:rPr>
          <w:rFonts w:ascii="Times New Roman" w:hAnsi="Times New Roman"/>
          <w:sz w:val="28"/>
          <w:szCs w:val="28"/>
          <w:lang w:eastAsia="ru-RU"/>
        </w:rPr>
        <w:t xml:space="preserve"> смен</w:t>
      </w:r>
      <w:r w:rsidR="002B0A4F" w:rsidRPr="009F27F7">
        <w:rPr>
          <w:rFonts w:ascii="Times New Roman" w:hAnsi="Times New Roman"/>
          <w:sz w:val="28"/>
          <w:szCs w:val="28"/>
          <w:lang w:eastAsia="ru-RU"/>
        </w:rPr>
        <w:t>ы</w:t>
      </w:r>
      <w:r w:rsidR="000E04EA" w:rsidRPr="009F27F7">
        <w:rPr>
          <w:rFonts w:ascii="Times New Roman" w:hAnsi="Times New Roman"/>
          <w:sz w:val="28"/>
          <w:szCs w:val="28"/>
          <w:lang w:eastAsia="ru-RU"/>
        </w:rPr>
        <w:t>.</w:t>
      </w:r>
      <w:r w:rsidR="002B0A4F" w:rsidRPr="009F27F7">
        <w:rPr>
          <w:rFonts w:ascii="Times New Roman" w:hAnsi="Times New Roman"/>
          <w:sz w:val="28"/>
          <w:szCs w:val="28"/>
          <w:lang w:eastAsia="ru-RU"/>
        </w:rPr>
        <w:t xml:space="preserve"> </w:t>
      </w:r>
      <w:r w:rsidR="000E04EA" w:rsidRPr="009F27F7">
        <w:rPr>
          <w:rFonts w:ascii="Times New Roman" w:hAnsi="Times New Roman"/>
          <w:sz w:val="28"/>
          <w:szCs w:val="28"/>
          <w:lang w:eastAsia="ru-RU"/>
        </w:rPr>
        <w:t xml:space="preserve">Расходы бюджета муниципального образования на общее образование в расчете на 1 обучающегося </w:t>
      </w:r>
      <w:r w:rsidR="00510A07" w:rsidRPr="009F27F7">
        <w:rPr>
          <w:rFonts w:ascii="Times New Roman" w:hAnsi="Times New Roman"/>
          <w:sz w:val="28"/>
          <w:szCs w:val="28"/>
          <w:lang w:eastAsia="ru-RU"/>
        </w:rPr>
        <w:t>увеличи</w:t>
      </w:r>
      <w:r w:rsidR="00D24911" w:rsidRPr="009F27F7">
        <w:rPr>
          <w:rFonts w:ascii="Times New Roman" w:hAnsi="Times New Roman"/>
          <w:sz w:val="28"/>
          <w:szCs w:val="28"/>
          <w:lang w:eastAsia="ru-RU"/>
        </w:rPr>
        <w:t>л</w:t>
      </w:r>
      <w:r w:rsidR="00A71AFF" w:rsidRPr="009F27F7">
        <w:rPr>
          <w:rFonts w:ascii="Times New Roman" w:hAnsi="Times New Roman"/>
          <w:sz w:val="28"/>
          <w:szCs w:val="28"/>
          <w:lang w:eastAsia="ru-RU"/>
        </w:rPr>
        <w:t>и</w:t>
      </w:r>
      <w:r w:rsidR="00D24911" w:rsidRPr="009F27F7">
        <w:rPr>
          <w:rFonts w:ascii="Times New Roman" w:hAnsi="Times New Roman"/>
          <w:sz w:val="28"/>
          <w:szCs w:val="28"/>
          <w:lang w:eastAsia="ru-RU"/>
        </w:rPr>
        <w:t>сь</w:t>
      </w:r>
      <w:r w:rsidR="000E04EA" w:rsidRPr="009F27F7">
        <w:rPr>
          <w:rFonts w:ascii="Times New Roman" w:hAnsi="Times New Roman"/>
          <w:sz w:val="28"/>
          <w:szCs w:val="28"/>
          <w:lang w:eastAsia="ru-RU"/>
        </w:rPr>
        <w:t xml:space="preserve"> на </w:t>
      </w:r>
      <w:r w:rsidR="009F27F7" w:rsidRPr="009F27F7">
        <w:rPr>
          <w:rFonts w:ascii="Times New Roman" w:hAnsi="Times New Roman"/>
          <w:sz w:val="28"/>
          <w:szCs w:val="28"/>
          <w:lang w:eastAsia="ru-RU"/>
        </w:rPr>
        <w:t>25</w:t>
      </w:r>
      <w:r w:rsidR="000E04EA" w:rsidRPr="009F27F7">
        <w:rPr>
          <w:rFonts w:ascii="Times New Roman" w:hAnsi="Times New Roman"/>
          <w:sz w:val="28"/>
          <w:szCs w:val="28"/>
          <w:lang w:eastAsia="ru-RU"/>
        </w:rPr>
        <w:t xml:space="preserve"> процент</w:t>
      </w:r>
      <w:r w:rsidR="009F27F7" w:rsidRPr="009F27F7">
        <w:rPr>
          <w:rFonts w:ascii="Times New Roman" w:hAnsi="Times New Roman"/>
          <w:sz w:val="28"/>
          <w:szCs w:val="28"/>
          <w:lang w:eastAsia="ru-RU"/>
        </w:rPr>
        <w:t>ов</w:t>
      </w:r>
      <w:r w:rsidR="000E04EA" w:rsidRPr="009F27F7">
        <w:rPr>
          <w:rFonts w:ascii="Times New Roman" w:hAnsi="Times New Roman"/>
          <w:sz w:val="28"/>
          <w:szCs w:val="28"/>
          <w:lang w:eastAsia="ru-RU"/>
        </w:rPr>
        <w:t xml:space="preserve">: с </w:t>
      </w:r>
      <w:r w:rsidR="009F27F7" w:rsidRPr="009F27F7">
        <w:rPr>
          <w:rFonts w:ascii="Times New Roman" w:hAnsi="Times New Roman"/>
          <w:sz w:val="28"/>
          <w:szCs w:val="28"/>
          <w:lang w:eastAsia="ru-RU"/>
        </w:rPr>
        <w:t>13,12</w:t>
      </w:r>
      <w:r w:rsidR="000E04EA" w:rsidRPr="009F27F7">
        <w:rPr>
          <w:rFonts w:ascii="Times New Roman" w:hAnsi="Times New Roman"/>
          <w:sz w:val="28"/>
          <w:szCs w:val="28"/>
          <w:lang w:eastAsia="ru-RU"/>
        </w:rPr>
        <w:t xml:space="preserve"> тыс</w:t>
      </w:r>
      <w:r w:rsidR="00A12DE1" w:rsidRPr="009F27F7">
        <w:rPr>
          <w:rFonts w:ascii="Times New Roman" w:hAnsi="Times New Roman"/>
          <w:sz w:val="28"/>
          <w:szCs w:val="28"/>
          <w:lang w:eastAsia="ru-RU"/>
        </w:rPr>
        <w:t>. р</w:t>
      </w:r>
      <w:r w:rsidR="000E04EA" w:rsidRPr="009F27F7">
        <w:rPr>
          <w:rFonts w:ascii="Times New Roman" w:hAnsi="Times New Roman"/>
          <w:sz w:val="28"/>
          <w:szCs w:val="28"/>
          <w:lang w:eastAsia="ru-RU"/>
        </w:rPr>
        <w:t>ублей в 201</w:t>
      </w:r>
      <w:r w:rsidR="009F27F7" w:rsidRPr="009F27F7">
        <w:rPr>
          <w:rFonts w:ascii="Times New Roman" w:hAnsi="Times New Roman"/>
          <w:sz w:val="28"/>
          <w:szCs w:val="28"/>
          <w:lang w:eastAsia="ru-RU"/>
        </w:rPr>
        <w:t>6</w:t>
      </w:r>
      <w:r w:rsidR="000E04EA" w:rsidRPr="009F27F7">
        <w:rPr>
          <w:rFonts w:ascii="Times New Roman" w:hAnsi="Times New Roman"/>
          <w:sz w:val="28"/>
          <w:szCs w:val="28"/>
          <w:lang w:eastAsia="ru-RU"/>
        </w:rPr>
        <w:t xml:space="preserve"> году до </w:t>
      </w:r>
      <w:r w:rsidR="009F27F7" w:rsidRPr="009F27F7">
        <w:rPr>
          <w:rFonts w:ascii="Times New Roman" w:hAnsi="Times New Roman"/>
          <w:sz w:val="28"/>
          <w:szCs w:val="28"/>
          <w:lang w:eastAsia="ru-RU"/>
        </w:rPr>
        <w:t>16,4</w:t>
      </w:r>
      <w:r w:rsidR="000E04EA" w:rsidRPr="009F27F7">
        <w:rPr>
          <w:rFonts w:ascii="Times New Roman" w:hAnsi="Times New Roman"/>
          <w:sz w:val="28"/>
          <w:szCs w:val="28"/>
          <w:lang w:eastAsia="ru-RU"/>
        </w:rPr>
        <w:t xml:space="preserve"> тыс</w:t>
      </w:r>
      <w:r w:rsidR="00A12DE1" w:rsidRPr="009F27F7">
        <w:rPr>
          <w:rFonts w:ascii="Times New Roman" w:hAnsi="Times New Roman"/>
          <w:sz w:val="28"/>
          <w:szCs w:val="28"/>
          <w:lang w:eastAsia="ru-RU"/>
        </w:rPr>
        <w:t>. р</w:t>
      </w:r>
      <w:r w:rsidR="000E04EA" w:rsidRPr="009F27F7">
        <w:rPr>
          <w:rFonts w:ascii="Times New Roman" w:hAnsi="Times New Roman"/>
          <w:sz w:val="28"/>
          <w:szCs w:val="28"/>
          <w:lang w:eastAsia="ru-RU"/>
        </w:rPr>
        <w:t>ублей в отчетном году</w:t>
      </w:r>
      <w:r w:rsidR="00F42EB7" w:rsidRPr="009F27F7">
        <w:rPr>
          <w:rFonts w:ascii="Times New Roman" w:hAnsi="Times New Roman"/>
          <w:sz w:val="28"/>
          <w:szCs w:val="28"/>
          <w:lang w:eastAsia="ru-RU"/>
        </w:rPr>
        <w:t>.</w:t>
      </w:r>
      <w:r w:rsidR="000E04EA" w:rsidRPr="009F27F7">
        <w:rPr>
          <w:rFonts w:ascii="Times New Roman" w:hAnsi="Times New Roman"/>
          <w:sz w:val="28"/>
          <w:szCs w:val="28"/>
          <w:lang w:eastAsia="ru-RU"/>
        </w:rPr>
        <w:t xml:space="preserve"> К 20</w:t>
      </w:r>
      <w:r w:rsidR="009F27F7" w:rsidRPr="009F27F7">
        <w:rPr>
          <w:rFonts w:ascii="Times New Roman" w:hAnsi="Times New Roman"/>
          <w:sz w:val="28"/>
          <w:szCs w:val="28"/>
          <w:lang w:eastAsia="ru-RU"/>
        </w:rPr>
        <w:t>20</w:t>
      </w:r>
      <w:r w:rsidR="000E04EA" w:rsidRPr="009F27F7">
        <w:rPr>
          <w:rFonts w:ascii="Times New Roman" w:hAnsi="Times New Roman"/>
          <w:sz w:val="28"/>
          <w:szCs w:val="28"/>
          <w:lang w:eastAsia="ru-RU"/>
        </w:rPr>
        <w:t xml:space="preserve"> году </w:t>
      </w:r>
      <w:r w:rsidR="00723565" w:rsidRPr="009F27F7">
        <w:rPr>
          <w:rFonts w:ascii="Times New Roman" w:hAnsi="Times New Roman"/>
          <w:sz w:val="28"/>
          <w:szCs w:val="28"/>
          <w:lang w:eastAsia="ru-RU"/>
        </w:rPr>
        <w:t xml:space="preserve">эта сумма </w:t>
      </w:r>
      <w:r w:rsidR="00D24911" w:rsidRPr="009F27F7">
        <w:rPr>
          <w:rFonts w:ascii="Times New Roman" w:hAnsi="Times New Roman"/>
          <w:sz w:val="28"/>
          <w:szCs w:val="28"/>
          <w:lang w:eastAsia="ru-RU"/>
        </w:rPr>
        <w:t xml:space="preserve">составит </w:t>
      </w:r>
      <w:r w:rsidR="009F27F7" w:rsidRPr="009F27F7">
        <w:rPr>
          <w:rFonts w:ascii="Times New Roman" w:hAnsi="Times New Roman"/>
          <w:sz w:val="28"/>
          <w:szCs w:val="28"/>
          <w:lang w:eastAsia="ru-RU"/>
        </w:rPr>
        <w:t>17,9</w:t>
      </w:r>
      <w:r w:rsidR="00D24911" w:rsidRPr="009F27F7">
        <w:rPr>
          <w:rFonts w:ascii="Times New Roman" w:hAnsi="Times New Roman"/>
          <w:sz w:val="28"/>
          <w:szCs w:val="28"/>
          <w:lang w:eastAsia="ru-RU"/>
        </w:rPr>
        <w:t xml:space="preserve"> тыс</w:t>
      </w:r>
      <w:r w:rsidR="00723565" w:rsidRPr="009F27F7">
        <w:rPr>
          <w:rFonts w:ascii="Times New Roman" w:hAnsi="Times New Roman"/>
          <w:sz w:val="28"/>
          <w:szCs w:val="28"/>
          <w:lang w:eastAsia="ru-RU"/>
        </w:rPr>
        <w:t>.</w:t>
      </w:r>
      <w:r w:rsidR="00D24911" w:rsidRPr="009F27F7">
        <w:rPr>
          <w:rFonts w:ascii="Times New Roman" w:hAnsi="Times New Roman"/>
          <w:sz w:val="28"/>
          <w:szCs w:val="28"/>
          <w:lang w:eastAsia="ru-RU"/>
        </w:rPr>
        <w:t xml:space="preserve"> рублей.</w:t>
      </w:r>
    </w:p>
    <w:p w:rsidR="00D975FD" w:rsidRPr="009F27F7" w:rsidRDefault="00D975FD" w:rsidP="00911873">
      <w:pPr>
        <w:spacing w:after="0" w:line="240" w:lineRule="auto"/>
        <w:ind w:firstLine="709"/>
        <w:jc w:val="both"/>
        <w:rPr>
          <w:rFonts w:ascii="Times New Roman" w:hAnsi="Times New Roman"/>
          <w:sz w:val="28"/>
          <w:szCs w:val="28"/>
        </w:rPr>
      </w:pPr>
      <w:r w:rsidRPr="009F27F7">
        <w:rPr>
          <w:rFonts w:ascii="Times New Roman" w:hAnsi="Times New Roman"/>
          <w:sz w:val="28"/>
          <w:szCs w:val="28"/>
        </w:rPr>
        <w:t>Реализация комплекса мер по модернизации системы общего образования позволила</w:t>
      </w:r>
      <w:r w:rsidRPr="009F27F7">
        <w:rPr>
          <w:rFonts w:ascii="Times New Roman" w:hAnsi="Times New Roman"/>
          <w:i/>
          <w:sz w:val="28"/>
          <w:szCs w:val="28"/>
        </w:rPr>
        <w:t xml:space="preserve"> </w:t>
      </w:r>
      <w:r w:rsidRPr="009F27F7">
        <w:rPr>
          <w:rFonts w:ascii="Times New Roman" w:hAnsi="Times New Roman"/>
          <w:sz w:val="28"/>
          <w:szCs w:val="28"/>
        </w:rPr>
        <w:t xml:space="preserve">кардинально обновить школьную инфраструктуру, создать условия для внедрения современных образовательных технологий не только в городских, но и в сельских школах. </w:t>
      </w:r>
    </w:p>
    <w:p w:rsidR="004D6C1B" w:rsidRPr="00881E85" w:rsidRDefault="00F078E3" w:rsidP="00911873">
      <w:pPr>
        <w:autoSpaceDE w:val="0"/>
        <w:autoSpaceDN w:val="0"/>
        <w:adjustRightInd w:val="0"/>
        <w:spacing w:after="0" w:line="240" w:lineRule="auto"/>
        <w:ind w:firstLine="709"/>
        <w:jc w:val="both"/>
        <w:rPr>
          <w:rFonts w:ascii="Times New Roman" w:hAnsi="Times New Roman"/>
          <w:kern w:val="28"/>
          <w:sz w:val="28"/>
          <w:szCs w:val="28"/>
        </w:rPr>
      </w:pPr>
      <w:r w:rsidRPr="00881E85">
        <w:rPr>
          <w:rFonts w:ascii="Times New Roman" w:hAnsi="Times New Roman"/>
          <w:noProof/>
          <w:sz w:val="28"/>
          <w:szCs w:val="28"/>
        </w:rPr>
        <w:t xml:space="preserve">100 % учащихся школ на 1 сентября обеспечены учебниками. </w:t>
      </w:r>
      <w:r w:rsidR="004D6C1B" w:rsidRPr="00881E85">
        <w:rPr>
          <w:rFonts w:ascii="Times New Roman" w:hAnsi="Times New Roman"/>
          <w:kern w:val="28"/>
          <w:sz w:val="28"/>
          <w:szCs w:val="28"/>
        </w:rPr>
        <w:t>Одним из условий предоставления детям возможности получения качественного образования в оснащенных базовых школах является организация подвоза детей к местам обучения в сельской местности.</w:t>
      </w:r>
    </w:p>
    <w:p w:rsidR="00C1361C" w:rsidRPr="00B314AD" w:rsidRDefault="00F078E3" w:rsidP="00911873">
      <w:pPr>
        <w:pStyle w:val="a6"/>
        <w:ind w:firstLine="709"/>
        <w:jc w:val="both"/>
        <w:rPr>
          <w:rFonts w:ascii="Times New Roman" w:hAnsi="Times New Roman" w:cs="Times New Roman"/>
          <w:sz w:val="24"/>
          <w:szCs w:val="24"/>
          <w:highlight w:val="yellow"/>
        </w:rPr>
      </w:pPr>
      <w:r w:rsidRPr="00A16CBF">
        <w:rPr>
          <w:rFonts w:ascii="Times New Roman" w:hAnsi="Times New Roman" w:cs="Times New Roman"/>
          <w:sz w:val="28"/>
          <w:szCs w:val="28"/>
        </w:rPr>
        <w:t>Школьным транспортом (9 единиц) осуществляется подвоз 2</w:t>
      </w:r>
      <w:r w:rsidR="00CB37A6" w:rsidRPr="00A16CBF">
        <w:rPr>
          <w:rFonts w:ascii="Times New Roman" w:hAnsi="Times New Roman" w:cs="Times New Roman"/>
          <w:sz w:val="28"/>
          <w:szCs w:val="28"/>
        </w:rPr>
        <w:t>30</w:t>
      </w:r>
      <w:r w:rsidRPr="00A16CBF">
        <w:rPr>
          <w:rFonts w:ascii="Times New Roman" w:hAnsi="Times New Roman" w:cs="Times New Roman"/>
          <w:sz w:val="28"/>
          <w:szCs w:val="28"/>
        </w:rPr>
        <w:t xml:space="preserve">  учащихся из </w:t>
      </w:r>
      <w:r w:rsidR="00CB37A6" w:rsidRPr="00A16CBF">
        <w:rPr>
          <w:rFonts w:ascii="Times New Roman" w:hAnsi="Times New Roman" w:cs="Times New Roman"/>
          <w:sz w:val="28"/>
          <w:szCs w:val="28"/>
        </w:rPr>
        <w:t>3</w:t>
      </w:r>
      <w:r w:rsidRPr="00A16CBF">
        <w:rPr>
          <w:rFonts w:ascii="Times New Roman" w:hAnsi="Times New Roman" w:cs="Times New Roman"/>
          <w:sz w:val="28"/>
          <w:szCs w:val="28"/>
        </w:rPr>
        <w:t>7</w:t>
      </w:r>
      <w:r w:rsidR="007D241D">
        <w:rPr>
          <w:rFonts w:ascii="Times New Roman" w:hAnsi="Times New Roman" w:cs="Times New Roman"/>
          <w:sz w:val="28"/>
          <w:szCs w:val="28"/>
        </w:rPr>
        <w:t xml:space="preserve"> </w:t>
      </w:r>
      <w:r w:rsidRPr="00A16CBF">
        <w:rPr>
          <w:rFonts w:ascii="Times New Roman" w:hAnsi="Times New Roman" w:cs="Times New Roman"/>
          <w:sz w:val="28"/>
          <w:szCs w:val="28"/>
        </w:rPr>
        <w:t>населенных пунктов.</w:t>
      </w:r>
      <w:r w:rsidR="00616F93" w:rsidRPr="00A16CBF">
        <w:rPr>
          <w:rFonts w:ascii="Times New Roman" w:hAnsi="Times New Roman" w:cs="Times New Roman"/>
          <w:sz w:val="28"/>
          <w:szCs w:val="28"/>
        </w:rPr>
        <w:t xml:space="preserve"> </w:t>
      </w:r>
      <w:r w:rsidR="00C1361C" w:rsidRPr="00A16CBF">
        <w:rPr>
          <w:rFonts w:ascii="Times New Roman" w:hAnsi="Times New Roman" w:cs="Times New Roman"/>
          <w:sz w:val="28"/>
          <w:szCs w:val="28"/>
        </w:rPr>
        <w:t>Все общеобразовательные учреждения района подключены к сети Интернет. Свои сайты имеют все школы, сады.</w:t>
      </w:r>
      <w:r w:rsidR="00C1361C" w:rsidRPr="00A16CBF">
        <w:rPr>
          <w:rFonts w:ascii="Times New Roman" w:hAnsi="Times New Roman" w:cs="Times New Roman"/>
          <w:sz w:val="24"/>
          <w:szCs w:val="24"/>
        </w:rPr>
        <w:t xml:space="preserve"> </w:t>
      </w:r>
    </w:p>
    <w:p w:rsidR="00CD7445" w:rsidRPr="00245285" w:rsidRDefault="004D6C1B" w:rsidP="00911873">
      <w:pPr>
        <w:pStyle w:val="a6"/>
        <w:ind w:firstLine="709"/>
        <w:jc w:val="both"/>
        <w:rPr>
          <w:rFonts w:ascii="Times New Roman" w:eastAsia="Times New Roman" w:hAnsi="Times New Roman"/>
          <w:sz w:val="28"/>
          <w:szCs w:val="28"/>
        </w:rPr>
      </w:pPr>
      <w:r w:rsidRPr="00245285">
        <w:rPr>
          <w:rFonts w:ascii="Times New Roman" w:eastAsia="Times New Roman" w:hAnsi="Times New Roman"/>
          <w:sz w:val="28"/>
          <w:szCs w:val="28"/>
        </w:rPr>
        <w:t>Вложение значительных финансовых сре</w:t>
      </w:r>
      <w:proofErr w:type="gramStart"/>
      <w:r w:rsidRPr="00245285">
        <w:rPr>
          <w:rFonts w:ascii="Times New Roman" w:eastAsia="Times New Roman" w:hAnsi="Times New Roman"/>
          <w:sz w:val="28"/>
          <w:szCs w:val="28"/>
        </w:rPr>
        <w:t>дств в р</w:t>
      </w:r>
      <w:proofErr w:type="gramEnd"/>
      <w:r w:rsidRPr="00245285">
        <w:rPr>
          <w:rFonts w:ascii="Times New Roman" w:eastAsia="Times New Roman" w:hAnsi="Times New Roman"/>
          <w:sz w:val="28"/>
          <w:szCs w:val="28"/>
        </w:rPr>
        <w:t xml:space="preserve">азвитие инфраструктуры общеобразовательных учреждений и оснащение образовательного процесса в рамках реализации федеральных, региональных и муниципальных проектов и программ, способствовали улучшению условий </w:t>
      </w:r>
      <w:r w:rsidRPr="00245285">
        <w:rPr>
          <w:rFonts w:ascii="Times New Roman" w:eastAsia="Times New Roman" w:hAnsi="Times New Roman"/>
          <w:sz w:val="28"/>
          <w:szCs w:val="28"/>
        </w:rPr>
        <w:lastRenderedPageBreak/>
        <w:t>для обучения в соответствии с требованиями федеральных государственных образовательных стандартов. В 201</w:t>
      </w:r>
      <w:r w:rsidR="00881E85" w:rsidRPr="00245285">
        <w:rPr>
          <w:rFonts w:ascii="Times New Roman" w:eastAsia="Times New Roman" w:hAnsi="Times New Roman"/>
          <w:sz w:val="28"/>
          <w:szCs w:val="28"/>
        </w:rPr>
        <w:t>7</w:t>
      </w:r>
      <w:r w:rsidRPr="00245285">
        <w:rPr>
          <w:rFonts w:ascii="Times New Roman" w:eastAsia="Times New Roman" w:hAnsi="Times New Roman"/>
          <w:sz w:val="28"/>
          <w:szCs w:val="28"/>
        </w:rPr>
        <w:t xml:space="preserve"> году 100 % общеобразовательных учреждений отвечают предъявляемым требованиям.</w:t>
      </w:r>
      <w:r w:rsidR="008F54A3" w:rsidRPr="00245285">
        <w:rPr>
          <w:rFonts w:ascii="Times New Roman" w:eastAsia="Times New Roman" w:hAnsi="Times New Roman"/>
          <w:sz w:val="28"/>
          <w:szCs w:val="28"/>
        </w:rPr>
        <w:t xml:space="preserve"> </w:t>
      </w:r>
      <w:r w:rsidR="00CD7445" w:rsidRPr="00245285">
        <w:rPr>
          <w:rFonts w:ascii="Times New Roman" w:eastAsia="Times New Roman" w:hAnsi="Times New Roman"/>
          <w:sz w:val="28"/>
          <w:szCs w:val="28"/>
        </w:rPr>
        <w:t>Все школьники в муниципальном образовании обучаются в одну смену.</w:t>
      </w:r>
    </w:p>
    <w:p w:rsidR="008F54A3" w:rsidRPr="00B926DC" w:rsidRDefault="008F54A3" w:rsidP="00911873">
      <w:pPr>
        <w:spacing w:after="0" w:line="240" w:lineRule="auto"/>
        <w:ind w:firstLine="709"/>
        <w:jc w:val="both"/>
        <w:rPr>
          <w:rFonts w:ascii="Times New Roman" w:eastAsia="Times New Roman" w:hAnsi="Times New Roman"/>
          <w:sz w:val="28"/>
          <w:szCs w:val="28"/>
          <w:lang w:eastAsia="ru-RU"/>
        </w:rPr>
      </w:pPr>
      <w:r w:rsidRPr="00B926DC">
        <w:rPr>
          <w:rFonts w:ascii="Times New Roman" w:hAnsi="Times New Roman"/>
          <w:sz w:val="28"/>
          <w:szCs w:val="28"/>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r w:rsidRPr="00B926DC">
        <w:rPr>
          <w:rFonts w:ascii="Times New Roman" w:eastAsia="Times New Roman" w:hAnsi="Times New Roman"/>
          <w:sz w:val="28"/>
          <w:szCs w:val="28"/>
          <w:lang w:eastAsia="ru-RU"/>
        </w:rPr>
        <w:t xml:space="preserve"> в 201</w:t>
      </w:r>
      <w:r w:rsidR="00B926DC" w:rsidRPr="00B926DC">
        <w:rPr>
          <w:rFonts w:ascii="Times New Roman" w:eastAsia="Times New Roman" w:hAnsi="Times New Roman"/>
          <w:sz w:val="28"/>
          <w:szCs w:val="28"/>
          <w:lang w:eastAsia="ru-RU"/>
        </w:rPr>
        <w:t>7</w:t>
      </w:r>
      <w:r w:rsidRPr="00B926DC">
        <w:rPr>
          <w:rFonts w:ascii="Times New Roman" w:eastAsia="Times New Roman" w:hAnsi="Times New Roman"/>
          <w:sz w:val="28"/>
          <w:szCs w:val="28"/>
          <w:lang w:eastAsia="ru-RU"/>
        </w:rPr>
        <w:t xml:space="preserve"> году </w:t>
      </w:r>
      <w:r w:rsidR="00850F3C" w:rsidRPr="00B926DC">
        <w:rPr>
          <w:rFonts w:ascii="Times New Roman" w:eastAsia="Times New Roman" w:hAnsi="Times New Roman"/>
          <w:sz w:val="28"/>
          <w:szCs w:val="28"/>
          <w:lang w:eastAsia="ru-RU"/>
        </w:rPr>
        <w:t>составила 87 процентов, к 20</w:t>
      </w:r>
      <w:r w:rsidR="00B926DC" w:rsidRPr="00B926DC">
        <w:rPr>
          <w:rFonts w:ascii="Times New Roman" w:eastAsia="Times New Roman" w:hAnsi="Times New Roman"/>
          <w:sz w:val="28"/>
          <w:szCs w:val="28"/>
          <w:lang w:eastAsia="ru-RU"/>
        </w:rPr>
        <w:t>20</w:t>
      </w:r>
      <w:r w:rsidR="00850F3C" w:rsidRPr="00B926DC">
        <w:rPr>
          <w:rFonts w:ascii="Times New Roman" w:eastAsia="Times New Roman" w:hAnsi="Times New Roman"/>
          <w:sz w:val="28"/>
          <w:szCs w:val="28"/>
          <w:lang w:eastAsia="ru-RU"/>
        </w:rPr>
        <w:t xml:space="preserve"> году данный показатель составит 95 процентов. </w:t>
      </w:r>
    </w:p>
    <w:p w:rsidR="00F078E3" w:rsidRPr="00B926DC" w:rsidRDefault="00F078E3" w:rsidP="00911873">
      <w:pPr>
        <w:pStyle w:val="msonormalcxsplast"/>
        <w:spacing w:before="0" w:beforeAutospacing="0" w:after="0" w:afterAutospacing="0"/>
        <w:ind w:firstLine="709"/>
        <w:contextualSpacing/>
        <w:jc w:val="both"/>
        <w:rPr>
          <w:sz w:val="28"/>
          <w:szCs w:val="28"/>
        </w:rPr>
      </w:pPr>
      <w:r w:rsidRPr="00B926DC">
        <w:rPr>
          <w:sz w:val="28"/>
          <w:szCs w:val="28"/>
        </w:rPr>
        <w:t>Все эти меры направлены на создание условий для повышения качества образования.</w:t>
      </w:r>
    </w:p>
    <w:p w:rsidR="000E04EA" w:rsidRPr="007B1F5A" w:rsidRDefault="00B76AA2" w:rsidP="00911873">
      <w:pPr>
        <w:spacing w:after="0" w:line="240" w:lineRule="auto"/>
        <w:ind w:firstLine="708"/>
        <w:jc w:val="both"/>
        <w:rPr>
          <w:rFonts w:ascii="Times New Roman" w:hAnsi="Times New Roman"/>
          <w:b/>
          <w:sz w:val="28"/>
          <w:szCs w:val="28"/>
          <w:u w:val="single"/>
          <w:lang w:eastAsia="ru-RU"/>
        </w:rPr>
      </w:pPr>
      <w:r w:rsidRPr="007B1F5A">
        <w:rPr>
          <w:rFonts w:ascii="Times New Roman" w:hAnsi="Times New Roman"/>
          <w:b/>
          <w:sz w:val="28"/>
          <w:szCs w:val="28"/>
          <w:u w:val="single"/>
          <w:lang w:eastAsia="ru-RU"/>
        </w:rPr>
        <w:t>Культура</w:t>
      </w:r>
    </w:p>
    <w:p w:rsidR="00B76AA2" w:rsidRPr="007B1F5A" w:rsidRDefault="00B76AA2" w:rsidP="00911873">
      <w:pPr>
        <w:spacing w:after="0" w:line="240" w:lineRule="auto"/>
        <w:ind w:firstLine="708"/>
        <w:jc w:val="both"/>
        <w:rPr>
          <w:rFonts w:ascii="Times New Roman" w:eastAsia="Times New Roman" w:hAnsi="Times New Roman"/>
          <w:sz w:val="28"/>
          <w:szCs w:val="28"/>
          <w:lang w:eastAsia="ru-RU"/>
        </w:rPr>
      </w:pPr>
      <w:r w:rsidRPr="007B1F5A">
        <w:rPr>
          <w:rFonts w:ascii="Times New Roman" w:hAnsi="Times New Roman"/>
          <w:sz w:val="28"/>
          <w:szCs w:val="28"/>
          <w:lang w:eastAsia="ru-RU"/>
        </w:rPr>
        <w:t>Уров</w:t>
      </w:r>
      <w:r w:rsidR="00FC19F2" w:rsidRPr="007B1F5A">
        <w:rPr>
          <w:rFonts w:ascii="Times New Roman" w:hAnsi="Times New Roman"/>
          <w:sz w:val="28"/>
          <w:szCs w:val="28"/>
          <w:lang w:eastAsia="ru-RU"/>
        </w:rPr>
        <w:t>ни</w:t>
      </w:r>
      <w:r w:rsidRPr="007B1F5A">
        <w:rPr>
          <w:rFonts w:ascii="Times New Roman" w:hAnsi="Times New Roman"/>
          <w:sz w:val="28"/>
          <w:szCs w:val="28"/>
          <w:lang w:eastAsia="ru-RU"/>
        </w:rPr>
        <w:t xml:space="preserve"> фактической обеспеченности населения учреждениями культуры от нормативной потребности в районе </w:t>
      </w:r>
      <w:r w:rsidR="007B1F5A" w:rsidRPr="007B1F5A">
        <w:rPr>
          <w:rFonts w:ascii="Times New Roman" w:hAnsi="Times New Roman"/>
          <w:sz w:val="28"/>
          <w:szCs w:val="28"/>
          <w:lang w:eastAsia="ru-RU"/>
        </w:rPr>
        <w:t>за 2017 год</w:t>
      </w:r>
      <w:r w:rsidR="00FF04DB" w:rsidRPr="007B1F5A">
        <w:rPr>
          <w:rFonts w:ascii="Times New Roman" w:hAnsi="Times New Roman"/>
          <w:sz w:val="28"/>
          <w:szCs w:val="28"/>
          <w:lang w:eastAsia="ru-RU"/>
        </w:rPr>
        <w:t xml:space="preserve"> составили</w:t>
      </w:r>
      <w:r w:rsidRPr="007B1F5A">
        <w:rPr>
          <w:rFonts w:ascii="Times New Roman" w:hAnsi="Times New Roman"/>
          <w:sz w:val="28"/>
          <w:szCs w:val="28"/>
          <w:lang w:eastAsia="ru-RU"/>
        </w:rPr>
        <w:t xml:space="preserve"> 7</w:t>
      </w:r>
      <w:r w:rsidR="007B1F5A" w:rsidRPr="007B1F5A">
        <w:rPr>
          <w:rFonts w:ascii="Times New Roman" w:hAnsi="Times New Roman"/>
          <w:sz w:val="28"/>
          <w:szCs w:val="28"/>
          <w:lang w:eastAsia="ru-RU"/>
        </w:rPr>
        <w:t>9</w:t>
      </w:r>
      <w:r w:rsidR="009E27CD" w:rsidRPr="007B1F5A">
        <w:rPr>
          <w:rFonts w:ascii="Times New Roman" w:hAnsi="Times New Roman"/>
          <w:sz w:val="28"/>
          <w:szCs w:val="28"/>
          <w:lang w:eastAsia="ru-RU"/>
        </w:rPr>
        <w:t>,8</w:t>
      </w:r>
      <w:r w:rsidRPr="007B1F5A">
        <w:rPr>
          <w:rFonts w:ascii="Times New Roman" w:hAnsi="Times New Roman"/>
          <w:sz w:val="28"/>
          <w:szCs w:val="28"/>
          <w:lang w:eastAsia="ru-RU"/>
        </w:rPr>
        <w:t xml:space="preserve"> % - клубами и учреждениями клубного </w:t>
      </w:r>
      <w:r w:rsidR="00055BBC" w:rsidRPr="007B1F5A">
        <w:rPr>
          <w:rFonts w:ascii="Times New Roman" w:hAnsi="Times New Roman"/>
          <w:sz w:val="28"/>
          <w:szCs w:val="28"/>
          <w:lang w:eastAsia="ru-RU"/>
        </w:rPr>
        <w:t xml:space="preserve">типа </w:t>
      </w:r>
      <w:r w:rsidRPr="007B1F5A">
        <w:rPr>
          <w:rFonts w:ascii="Times New Roman" w:hAnsi="Times New Roman"/>
          <w:sz w:val="28"/>
          <w:szCs w:val="28"/>
          <w:lang w:eastAsia="ru-RU"/>
        </w:rPr>
        <w:t xml:space="preserve">и </w:t>
      </w:r>
      <w:r w:rsidR="00850F3C" w:rsidRPr="007B1F5A">
        <w:rPr>
          <w:rFonts w:ascii="Times New Roman" w:hAnsi="Times New Roman"/>
          <w:sz w:val="28"/>
          <w:szCs w:val="28"/>
          <w:lang w:eastAsia="ru-RU"/>
        </w:rPr>
        <w:t>72,2</w:t>
      </w:r>
      <w:r w:rsidRPr="007B1F5A">
        <w:rPr>
          <w:rFonts w:ascii="Times New Roman" w:hAnsi="Times New Roman"/>
          <w:sz w:val="28"/>
          <w:szCs w:val="28"/>
          <w:lang w:eastAsia="ru-RU"/>
        </w:rPr>
        <w:t xml:space="preserve"> % - библиотеками.</w:t>
      </w:r>
      <w:r w:rsidR="002A4605" w:rsidRPr="007B1F5A">
        <w:rPr>
          <w:rFonts w:ascii="Times New Roman" w:hAnsi="Times New Roman"/>
          <w:sz w:val="28"/>
          <w:szCs w:val="28"/>
          <w:lang w:eastAsia="ru-RU"/>
        </w:rPr>
        <w:t xml:space="preserve"> У</w:t>
      </w:r>
      <w:r w:rsidR="002A4605" w:rsidRPr="007B1F5A">
        <w:rPr>
          <w:rFonts w:ascii="Times New Roman" w:eastAsia="Times New Roman" w:hAnsi="Times New Roman"/>
          <w:sz w:val="28"/>
          <w:szCs w:val="28"/>
          <w:lang w:eastAsia="ru-RU"/>
        </w:rPr>
        <w:t>слуги</w:t>
      </w:r>
      <w:r w:rsidR="002A4605" w:rsidRPr="007B1F5A">
        <w:rPr>
          <w:rFonts w:ascii="Times New Roman" w:eastAsia="Times New Roman" w:hAnsi="Times New Roman"/>
          <w:sz w:val="27"/>
          <w:szCs w:val="27"/>
          <w:lang w:eastAsia="ru-RU"/>
        </w:rPr>
        <w:t xml:space="preserve"> </w:t>
      </w:r>
      <w:r w:rsidR="002A4605" w:rsidRPr="007B1F5A">
        <w:rPr>
          <w:rFonts w:ascii="Times New Roman" w:eastAsia="Times New Roman" w:hAnsi="Times New Roman"/>
          <w:sz w:val="28"/>
          <w:szCs w:val="28"/>
          <w:lang w:eastAsia="ru-RU"/>
        </w:rPr>
        <w:t>жителям малых населенных пунктов предоставляются передвижным центром культуры и библиотечного обслуживания.</w:t>
      </w:r>
    </w:p>
    <w:p w:rsidR="00C15FBD" w:rsidRPr="006F7F72" w:rsidRDefault="00C15FBD" w:rsidP="00911873">
      <w:pPr>
        <w:spacing w:after="0" w:line="240" w:lineRule="auto"/>
        <w:ind w:firstLine="708"/>
        <w:jc w:val="both"/>
        <w:rPr>
          <w:rFonts w:ascii="Times New Roman" w:hAnsi="Times New Roman"/>
          <w:sz w:val="28"/>
          <w:szCs w:val="28"/>
          <w:lang w:eastAsia="ru-RU"/>
        </w:rPr>
      </w:pPr>
      <w:r w:rsidRPr="006F7F72">
        <w:rPr>
          <w:rFonts w:ascii="Times New Roman" w:eastAsia="Times New Roman" w:hAnsi="Times New Roman"/>
          <w:color w:val="000000"/>
          <w:sz w:val="28"/>
          <w:szCs w:val="28"/>
          <w:lang w:eastAsia="ru-RU"/>
        </w:rPr>
        <w:t>Проведена работа по передаче полномочий по организации библиотечного обслуживания населения сельских поселений на районный уровень путем создания единых библиотечных систем. Объединение библиотек в единую систему позволило увеличить информационные ресурсы библиотек, особенно сельских, за счет внутрисистемного книгообмена и компьютеризации библиотечных процессов.</w:t>
      </w:r>
    </w:p>
    <w:p w:rsidR="00AF69E5" w:rsidRPr="00B314AD" w:rsidRDefault="00292840" w:rsidP="00911873">
      <w:pPr>
        <w:spacing w:after="0" w:line="240" w:lineRule="auto"/>
        <w:ind w:firstLine="708"/>
        <w:jc w:val="both"/>
        <w:rPr>
          <w:rFonts w:ascii="Times New Roman" w:hAnsi="Times New Roman"/>
          <w:b/>
          <w:sz w:val="28"/>
          <w:szCs w:val="28"/>
          <w:highlight w:val="yellow"/>
          <w:lang w:eastAsia="ru-RU"/>
        </w:rPr>
      </w:pPr>
      <w:r w:rsidRPr="00034A27">
        <w:rPr>
          <w:rFonts w:ascii="Times New Roman" w:hAnsi="Times New Roman"/>
          <w:b/>
          <w:noProof/>
          <w:sz w:val="28"/>
          <w:szCs w:val="28"/>
          <w:lang w:eastAsia="ru-RU"/>
        </w:rPr>
        <w:drawing>
          <wp:inline distT="0" distB="0" distL="0" distR="0">
            <wp:extent cx="5486400" cy="32004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76AA2" w:rsidRPr="00F222E8" w:rsidRDefault="00B76AA2" w:rsidP="00911873">
      <w:pPr>
        <w:spacing w:after="0" w:line="240" w:lineRule="auto"/>
        <w:ind w:firstLine="708"/>
        <w:jc w:val="both"/>
        <w:rPr>
          <w:rFonts w:ascii="Times New Roman" w:hAnsi="Times New Roman"/>
          <w:b/>
          <w:sz w:val="28"/>
          <w:szCs w:val="28"/>
          <w:u w:val="single"/>
          <w:lang w:eastAsia="ru-RU"/>
        </w:rPr>
      </w:pPr>
      <w:r w:rsidRPr="00F222E8">
        <w:rPr>
          <w:rFonts w:ascii="Times New Roman" w:hAnsi="Times New Roman"/>
          <w:b/>
          <w:sz w:val="28"/>
          <w:szCs w:val="28"/>
          <w:u w:val="single"/>
          <w:lang w:eastAsia="ru-RU"/>
        </w:rPr>
        <w:t>Физическая культура и спорт</w:t>
      </w:r>
    </w:p>
    <w:p w:rsidR="00B76AA2" w:rsidRPr="00F222E8" w:rsidRDefault="00B76AA2" w:rsidP="00911873">
      <w:pPr>
        <w:spacing w:after="0" w:line="240" w:lineRule="auto"/>
        <w:ind w:firstLine="708"/>
        <w:jc w:val="both"/>
        <w:rPr>
          <w:rFonts w:ascii="Times New Roman" w:hAnsi="Times New Roman"/>
          <w:sz w:val="28"/>
          <w:szCs w:val="28"/>
          <w:lang w:eastAsia="ru-RU"/>
        </w:rPr>
      </w:pPr>
      <w:r w:rsidRPr="00F222E8">
        <w:rPr>
          <w:rFonts w:ascii="Times New Roman" w:hAnsi="Times New Roman"/>
          <w:sz w:val="28"/>
          <w:szCs w:val="28"/>
          <w:lang w:eastAsia="ru-RU"/>
        </w:rPr>
        <w:t>Доля населения систематически занимающегося физической культурой и спортом составила в 201</w:t>
      </w:r>
      <w:r w:rsidR="00F222E8" w:rsidRPr="00F222E8">
        <w:rPr>
          <w:rFonts w:ascii="Times New Roman" w:hAnsi="Times New Roman"/>
          <w:sz w:val="28"/>
          <w:szCs w:val="28"/>
          <w:lang w:eastAsia="ru-RU"/>
        </w:rPr>
        <w:t>7</w:t>
      </w:r>
      <w:r w:rsidRPr="00F222E8">
        <w:rPr>
          <w:rFonts w:ascii="Times New Roman" w:hAnsi="Times New Roman"/>
          <w:sz w:val="28"/>
          <w:szCs w:val="28"/>
          <w:lang w:eastAsia="ru-RU"/>
        </w:rPr>
        <w:t xml:space="preserve"> году </w:t>
      </w:r>
      <w:r w:rsidR="00F222E8" w:rsidRPr="00F222E8">
        <w:rPr>
          <w:rFonts w:ascii="Times New Roman" w:hAnsi="Times New Roman"/>
          <w:sz w:val="28"/>
          <w:szCs w:val="28"/>
          <w:lang w:eastAsia="ru-RU"/>
        </w:rPr>
        <w:t>35,2</w:t>
      </w:r>
      <w:r w:rsidRPr="00F222E8">
        <w:rPr>
          <w:rFonts w:ascii="Times New Roman" w:hAnsi="Times New Roman"/>
          <w:sz w:val="28"/>
          <w:szCs w:val="28"/>
          <w:lang w:eastAsia="ru-RU"/>
        </w:rPr>
        <w:t>%</w:t>
      </w:r>
      <w:r w:rsidR="00B714AA" w:rsidRPr="00F222E8">
        <w:rPr>
          <w:rFonts w:ascii="Times New Roman" w:hAnsi="Times New Roman"/>
          <w:sz w:val="28"/>
          <w:szCs w:val="28"/>
          <w:lang w:eastAsia="ru-RU"/>
        </w:rPr>
        <w:t xml:space="preserve"> </w:t>
      </w:r>
      <w:r w:rsidRPr="00F222E8">
        <w:rPr>
          <w:rFonts w:ascii="Times New Roman" w:hAnsi="Times New Roman"/>
          <w:sz w:val="28"/>
          <w:szCs w:val="28"/>
          <w:lang w:eastAsia="ru-RU"/>
        </w:rPr>
        <w:t>(в 201</w:t>
      </w:r>
      <w:r w:rsidR="00F222E8" w:rsidRPr="00F222E8">
        <w:rPr>
          <w:rFonts w:ascii="Times New Roman" w:hAnsi="Times New Roman"/>
          <w:sz w:val="28"/>
          <w:szCs w:val="28"/>
          <w:lang w:eastAsia="ru-RU"/>
        </w:rPr>
        <w:t>6</w:t>
      </w:r>
      <w:r w:rsidRPr="00F222E8">
        <w:rPr>
          <w:rFonts w:ascii="Times New Roman" w:hAnsi="Times New Roman"/>
          <w:sz w:val="28"/>
          <w:szCs w:val="28"/>
          <w:lang w:eastAsia="ru-RU"/>
        </w:rPr>
        <w:t xml:space="preserve"> году – </w:t>
      </w:r>
      <w:r w:rsidR="00F222E8" w:rsidRPr="00F222E8">
        <w:rPr>
          <w:rFonts w:ascii="Times New Roman" w:hAnsi="Times New Roman"/>
          <w:sz w:val="28"/>
          <w:szCs w:val="28"/>
          <w:lang w:eastAsia="ru-RU"/>
        </w:rPr>
        <w:t>30,8</w:t>
      </w:r>
      <w:r w:rsidR="00692F18" w:rsidRPr="00F222E8">
        <w:rPr>
          <w:rFonts w:ascii="Times New Roman" w:hAnsi="Times New Roman"/>
          <w:sz w:val="28"/>
          <w:szCs w:val="28"/>
          <w:lang w:eastAsia="ru-RU"/>
        </w:rPr>
        <w:t xml:space="preserve"> </w:t>
      </w:r>
      <w:r w:rsidRPr="00F222E8">
        <w:rPr>
          <w:rFonts w:ascii="Times New Roman" w:hAnsi="Times New Roman"/>
          <w:sz w:val="28"/>
          <w:szCs w:val="28"/>
          <w:lang w:eastAsia="ru-RU"/>
        </w:rPr>
        <w:t>%).</w:t>
      </w:r>
      <w:r w:rsidR="00D032A5" w:rsidRPr="00F222E8">
        <w:rPr>
          <w:rFonts w:ascii="Times New Roman" w:hAnsi="Times New Roman"/>
          <w:sz w:val="28"/>
          <w:szCs w:val="28"/>
          <w:lang w:eastAsia="ru-RU"/>
        </w:rPr>
        <w:t xml:space="preserve"> К 20</w:t>
      </w:r>
      <w:r w:rsidR="00F222E8" w:rsidRPr="00F222E8">
        <w:rPr>
          <w:rFonts w:ascii="Times New Roman" w:hAnsi="Times New Roman"/>
          <w:sz w:val="28"/>
          <w:szCs w:val="28"/>
          <w:lang w:eastAsia="ru-RU"/>
        </w:rPr>
        <w:t>20</w:t>
      </w:r>
      <w:r w:rsidR="00D032A5" w:rsidRPr="00F222E8">
        <w:rPr>
          <w:rFonts w:ascii="Times New Roman" w:hAnsi="Times New Roman"/>
          <w:sz w:val="28"/>
          <w:szCs w:val="28"/>
          <w:lang w:eastAsia="ru-RU"/>
        </w:rPr>
        <w:t xml:space="preserve"> году данный показатель планируется довести до уровня </w:t>
      </w:r>
      <w:r w:rsidR="00F222E8" w:rsidRPr="00F222E8">
        <w:rPr>
          <w:rFonts w:ascii="Times New Roman" w:hAnsi="Times New Roman"/>
          <w:sz w:val="28"/>
          <w:szCs w:val="28"/>
          <w:lang w:eastAsia="ru-RU"/>
        </w:rPr>
        <w:t>40,0</w:t>
      </w:r>
      <w:r w:rsidR="00FC2521" w:rsidRPr="00F222E8">
        <w:rPr>
          <w:rFonts w:ascii="Times New Roman" w:hAnsi="Times New Roman"/>
          <w:sz w:val="28"/>
          <w:szCs w:val="28"/>
          <w:lang w:eastAsia="ru-RU"/>
        </w:rPr>
        <w:t xml:space="preserve"> </w:t>
      </w:r>
      <w:r w:rsidR="00D032A5" w:rsidRPr="00F222E8">
        <w:rPr>
          <w:rFonts w:ascii="Times New Roman" w:hAnsi="Times New Roman"/>
          <w:sz w:val="28"/>
          <w:szCs w:val="28"/>
          <w:lang w:eastAsia="ru-RU"/>
        </w:rPr>
        <w:t>процентов.</w:t>
      </w:r>
    </w:p>
    <w:p w:rsidR="001F72F7" w:rsidRPr="00B314AD" w:rsidRDefault="001F72F7" w:rsidP="00911873">
      <w:pPr>
        <w:spacing w:after="0" w:line="240" w:lineRule="auto"/>
        <w:ind w:firstLine="708"/>
        <w:jc w:val="both"/>
        <w:rPr>
          <w:rFonts w:ascii="Times New Roman" w:hAnsi="Times New Roman"/>
          <w:sz w:val="28"/>
          <w:szCs w:val="28"/>
          <w:highlight w:val="yellow"/>
          <w:lang w:eastAsia="ru-RU"/>
        </w:rPr>
      </w:pPr>
    </w:p>
    <w:p w:rsidR="001F72F7" w:rsidRPr="00B314AD" w:rsidRDefault="001F72F7" w:rsidP="00911873">
      <w:pPr>
        <w:spacing w:after="0" w:line="240" w:lineRule="auto"/>
        <w:ind w:firstLine="708"/>
        <w:jc w:val="both"/>
        <w:rPr>
          <w:rFonts w:ascii="Times New Roman" w:hAnsi="Times New Roman"/>
          <w:sz w:val="28"/>
          <w:szCs w:val="28"/>
          <w:highlight w:val="yellow"/>
          <w:lang w:eastAsia="ru-RU"/>
        </w:rPr>
      </w:pPr>
      <w:r w:rsidRPr="00DC6181">
        <w:rPr>
          <w:rFonts w:ascii="Times New Roman" w:hAnsi="Times New Roman"/>
          <w:noProof/>
          <w:sz w:val="28"/>
          <w:szCs w:val="28"/>
          <w:lang w:eastAsia="ru-RU"/>
        </w:rPr>
        <w:lastRenderedPageBreak/>
        <w:drawing>
          <wp:inline distT="0" distB="0" distL="0" distR="0">
            <wp:extent cx="5486400" cy="3200400"/>
            <wp:effectExtent l="57150" t="1905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C3141" w:rsidRPr="00B314AD" w:rsidRDefault="000C3141" w:rsidP="00911873">
      <w:pPr>
        <w:spacing w:after="0" w:line="240" w:lineRule="auto"/>
        <w:ind w:firstLine="708"/>
        <w:jc w:val="both"/>
        <w:rPr>
          <w:rFonts w:ascii="Times New Roman" w:hAnsi="Times New Roman"/>
          <w:sz w:val="28"/>
          <w:szCs w:val="28"/>
          <w:highlight w:val="yellow"/>
          <w:lang w:eastAsia="ru-RU"/>
        </w:rPr>
      </w:pPr>
    </w:p>
    <w:p w:rsidR="00FC2521" w:rsidRPr="00DC6181" w:rsidRDefault="00FC2521" w:rsidP="00911873">
      <w:pPr>
        <w:spacing w:after="0" w:line="240" w:lineRule="auto"/>
        <w:ind w:firstLine="708"/>
        <w:jc w:val="both"/>
        <w:rPr>
          <w:rFonts w:ascii="Times New Roman" w:hAnsi="Times New Roman"/>
          <w:sz w:val="28"/>
          <w:szCs w:val="28"/>
          <w:lang w:eastAsia="ru-RU"/>
        </w:rPr>
      </w:pPr>
      <w:r w:rsidRPr="00DC6181">
        <w:rPr>
          <w:rFonts w:ascii="Times New Roman" w:hAnsi="Times New Roman"/>
          <w:sz w:val="28"/>
          <w:szCs w:val="28"/>
          <w:lang w:eastAsia="ru-RU"/>
        </w:rPr>
        <w:t>Доля обучающихся</w:t>
      </w:r>
      <w:r w:rsidR="0005347B" w:rsidRPr="00DC6181">
        <w:rPr>
          <w:rFonts w:ascii="Times New Roman" w:hAnsi="Times New Roman"/>
          <w:sz w:val="28"/>
          <w:szCs w:val="28"/>
          <w:lang w:eastAsia="ru-RU"/>
        </w:rPr>
        <w:t>,</w:t>
      </w:r>
      <w:r w:rsidRPr="00DC6181">
        <w:rPr>
          <w:rFonts w:ascii="Times New Roman" w:hAnsi="Times New Roman"/>
          <w:sz w:val="28"/>
          <w:szCs w:val="28"/>
          <w:lang w:eastAsia="ru-RU"/>
        </w:rPr>
        <w:t xml:space="preserve"> систематически занимающихся физ</w:t>
      </w:r>
      <w:r w:rsidR="0005347B" w:rsidRPr="00DC6181">
        <w:rPr>
          <w:rFonts w:ascii="Times New Roman" w:hAnsi="Times New Roman"/>
          <w:sz w:val="28"/>
          <w:szCs w:val="28"/>
          <w:lang w:eastAsia="ru-RU"/>
        </w:rPr>
        <w:t>и</w:t>
      </w:r>
      <w:r w:rsidRPr="00DC6181">
        <w:rPr>
          <w:rFonts w:ascii="Times New Roman" w:hAnsi="Times New Roman"/>
          <w:sz w:val="28"/>
          <w:szCs w:val="28"/>
          <w:lang w:eastAsia="ru-RU"/>
        </w:rPr>
        <w:t>ческой культурой в 201</w:t>
      </w:r>
      <w:r w:rsidR="00DC6181" w:rsidRPr="00DC6181">
        <w:rPr>
          <w:rFonts w:ascii="Times New Roman" w:hAnsi="Times New Roman"/>
          <w:sz w:val="28"/>
          <w:szCs w:val="28"/>
          <w:lang w:eastAsia="ru-RU"/>
        </w:rPr>
        <w:t>7</w:t>
      </w:r>
      <w:r w:rsidRPr="00DC6181">
        <w:rPr>
          <w:rFonts w:ascii="Times New Roman" w:hAnsi="Times New Roman"/>
          <w:sz w:val="28"/>
          <w:szCs w:val="28"/>
          <w:lang w:eastAsia="ru-RU"/>
        </w:rPr>
        <w:t xml:space="preserve"> году составила</w:t>
      </w:r>
      <w:r w:rsidR="0005347B" w:rsidRPr="00DC6181">
        <w:rPr>
          <w:rFonts w:ascii="Times New Roman" w:hAnsi="Times New Roman"/>
          <w:sz w:val="28"/>
          <w:szCs w:val="28"/>
          <w:lang w:eastAsia="ru-RU"/>
        </w:rPr>
        <w:t xml:space="preserve"> </w:t>
      </w:r>
      <w:r w:rsidR="00DC6181" w:rsidRPr="00DC6181">
        <w:rPr>
          <w:rFonts w:ascii="Times New Roman" w:hAnsi="Times New Roman"/>
          <w:sz w:val="28"/>
          <w:szCs w:val="28"/>
          <w:lang w:eastAsia="ru-RU"/>
        </w:rPr>
        <w:t>81,6</w:t>
      </w:r>
      <w:r w:rsidR="0005347B" w:rsidRPr="00DC6181">
        <w:rPr>
          <w:rFonts w:ascii="Times New Roman" w:hAnsi="Times New Roman"/>
          <w:sz w:val="28"/>
          <w:szCs w:val="28"/>
          <w:lang w:eastAsia="ru-RU"/>
        </w:rPr>
        <w:t xml:space="preserve"> процентов и увеличилась по сравнению с 201</w:t>
      </w:r>
      <w:r w:rsidR="00DC6181" w:rsidRPr="00DC6181">
        <w:rPr>
          <w:rFonts w:ascii="Times New Roman" w:hAnsi="Times New Roman"/>
          <w:sz w:val="28"/>
          <w:szCs w:val="28"/>
          <w:lang w:eastAsia="ru-RU"/>
        </w:rPr>
        <w:t>6</w:t>
      </w:r>
      <w:r w:rsidR="0005347B" w:rsidRPr="00DC6181">
        <w:rPr>
          <w:rFonts w:ascii="Times New Roman" w:hAnsi="Times New Roman"/>
          <w:sz w:val="28"/>
          <w:szCs w:val="28"/>
          <w:lang w:eastAsia="ru-RU"/>
        </w:rPr>
        <w:t xml:space="preserve"> годом на </w:t>
      </w:r>
      <w:r w:rsidR="00DC6181" w:rsidRPr="00DC6181">
        <w:rPr>
          <w:rFonts w:ascii="Times New Roman" w:hAnsi="Times New Roman"/>
          <w:sz w:val="28"/>
          <w:szCs w:val="28"/>
          <w:lang w:eastAsia="ru-RU"/>
        </w:rPr>
        <w:t>13,6</w:t>
      </w:r>
      <w:r w:rsidR="0005347B" w:rsidRPr="00DC6181">
        <w:rPr>
          <w:rFonts w:ascii="Times New Roman" w:hAnsi="Times New Roman"/>
          <w:sz w:val="28"/>
          <w:szCs w:val="28"/>
          <w:lang w:eastAsia="ru-RU"/>
        </w:rPr>
        <w:t xml:space="preserve"> процент</w:t>
      </w:r>
      <w:r w:rsidR="00DC6181" w:rsidRPr="00DC6181">
        <w:rPr>
          <w:rFonts w:ascii="Times New Roman" w:hAnsi="Times New Roman"/>
          <w:sz w:val="28"/>
          <w:szCs w:val="28"/>
          <w:lang w:eastAsia="ru-RU"/>
        </w:rPr>
        <w:t>ных пункта</w:t>
      </w:r>
      <w:r w:rsidR="0005347B" w:rsidRPr="00DC6181">
        <w:rPr>
          <w:rFonts w:ascii="Times New Roman" w:hAnsi="Times New Roman"/>
          <w:sz w:val="28"/>
          <w:szCs w:val="28"/>
          <w:lang w:eastAsia="ru-RU"/>
        </w:rPr>
        <w:t xml:space="preserve"> (201</w:t>
      </w:r>
      <w:r w:rsidR="00DC6181" w:rsidRPr="00DC6181">
        <w:rPr>
          <w:rFonts w:ascii="Times New Roman" w:hAnsi="Times New Roman"/>
          <w:sz w:val="28"/>
          <w:szCs w:val="28"/>
          <w:lang w:eastAsia="ru-RU"/>
        </w:rPr>
        <w:t>6</w:t>
      </w:r>
      <w:r w:rsidR="0005347B" w:rsidRPr="00DC6181">
        <w:rPr>
          <w:rFonts w:ascii="Times New Roman" w:hAnsi="Times New Roman"/>
          <w:sz w:val="28"/>
          <w:szCs w:val="28"/>
          <w:lang w:eastAsia="ru-RU"/>
        </w:rPr>
        <w:t xml:space="preserve">г. – </w:t>
      </w:r>
      <w:r w:rsidR="00734579" w:rsidRPr="00DC6181">
        <w:rPr>
          <w:rFonts w:ascii="Times New Roman" w:hAnsi="Times New Roman"/>
          <w:sz w:val="28"/>
          <w:szCs w:val="28"/>
          <w:lang w:eastAsia="ru-RU"/>
        </w:rPr>
        <w:t>6</w:t>
      </w:r>
      <w:r w:rsidR="00DC6181" w:rsidRPr="00DC6181">
        <w:rPr>
          <w:rFonts w:ascii="Times New Roman" w:hAnsi="Times New Roman"/>
          <w:sz w:val="28"/>
          <w:szCs w:val="28"/>
          <w:lang w:eastAsia="ru-RU"/>
        </w:rPr>
        <w:t>8</w:t>
      </w:r>
      <w:r w:rsidR="00734579" w:rsidRPr="00DC6181">
        <w:rPr>
          <w:rFonts w:ascii="Times New Roman" w:hAnsi="Times New Roman"/>
          <w:sz w:val="28"/>
          <w:szCs w:val="28"/>
          <w:lang w:eastAsia="ru-RU"/>
        </w:rPr>
        <w:t xml:space="preserve"> </w:t>
      </w:r>
      <w:r w:rsidR="0005347B" w:rsidRPr="00DC6181">
        <w:rPr>
          <w:rFonts w:ascii="Times New Roman" w:hAnsi="Times New Roman"/>
          <w:sz w:val="28"/>
          <w:szCs w:val="28"/>
          <w:lang w:eastAsia="ru-RU"/>
        </w:rPr>
        <w:t>%). К 20</w:t>
      </w:r>
      <w:r w:rsidR="00DC6181" w:rsidRPr="00DC6181">
        <w:rPr>
          <w:rFonts w:ascii="Times New Roman" w:hAnsi="Times New Roman"/>
          <w:sz w:val="28"/>
          <w:szCs w:val="28"/>
          <w:lang w:eastAsia="ru-RU"/>
        </w:rPr>
        <w:t>20</w:t>
      </w:r>
      <w:r w:rsidR="0005347B" w:rsidRPr="00DC6181">
        <w:rPr>
          <w:rFonts w:ascii="Times New Roman" w:hAnsi="Times New Roman"/>
          <w:sz w:val="28"/>
          <w:szCs w:val="28"/>
          <w:lang w:eastAsia="ru-RU"/>
        </w:rPr>
        <w:t xml:space="preserve"> году данный показатель планируется на уровне 8</w:t>
      </w:r>
      <w:r w:rsidR="00DC6181" w:rsidRPr="00DC6181">
        <w:rPr>
          <w:rFonts w:ascii="Times New Roman" w:hAnsi="Times New Roman"/>
          <w:sz w:val="28"/>
          <w:szCs w:val="28"/>
          <w:lang w:eastAsia="ru-RU"/>
        </w:rPr>
        <w:t>7</w:t>
      </w:r>
      <w:r w:rsidR="0005347B" w:rsidRPr="00DC6181">
        <w:rPr>
          <w:rFonts w:ascii="Times New Roman" w:hAnsi="Times New Roman"/>
          <w:sz w:val="28"/>
          <w:szCs w:val="28"/>
          <w:lang w:eastAsia="ru-RU"/>
        </w:rPr>
        <w:t xml:space="preserve"> процент</w:t>
      </w:r>
      <w:r w:rsidR="00DC6181" w:rsidRPr="00DC6181">
        <w:rPr>
          <w:rFonts w:ascii="Times New Roman" w:hAnsi="Times New Roman"/>
          <w:sz w:val="28"/>
          <w:szCs w:val="28"/>
          <w:lang w:eastAsia="ru-RU"/>
        </w:rPr>
        <w:t>ов</w:t>
      </w:r>
      <w:r w:rsidR="0005347B" w:rsidRPr="00DC6181">
        <w:rPr>
          <w:rFonts w:ascii="Times New Roman" w:hAnsi="Times New Roman"/>
          <w:sz w:val="28"/>
          <w:szCs w:val="28"/>
          <w:lang w:eastAsia="ru-RU"/>
        </w:rPr>
        <w:t>.</w:t>
      </w:r>
      <w:r w:rsidRPr="00DC6181">
        <w:rPr>
          <w:rFonts w:ascii="Times New Roman" w:hAnsi="Times New Roman"/>
          <w:sz w:val="28"/>
          <w:szCs w:val="28"/>
          <w:lang w:eastAsia="ru-RU"/>
        </w:rPr>
        <w:t xml:space="preserve"> </w:t>
      </w:r>
    </w:p>
    <w:p w:rsidR="00A705FE" w:rsidRPr="00B314AD" w:rsidRDefault="00A705FE" w:rsidP="00911873">
      <w:pPr>
        <w:spacing w:after="0" w:line="240" w:lineRule="auto"/>
        <w:ind w:firstLine="708"/>
        <w:jc w:val="both"/>
        <w:rPr>
          <w:rFonts w:ascii="Times New Roman" w:hAnsi="Times New Roman"/>
          <w:sz w:val="28"/>
          <w:szCs w:val="28"/>
          <w:highlight w:val="yellow"/>
          <w:lang w:eastAsia="ru-RU"/>
        </w:rPr>
      </w:pPr>
      <w:r w:rsidRPr="00B711FA">
        <w:rPr>
          <w:rFonts w:ascii="Times New Roman" w:hAnsi="Times New Roman"/>
          <w:noProof/>
          <w:sz w:val="28"/>
          <w:szCs w:val="28"/>
          <w:lang w:eastAsia="ru-RU"/>
        </w:rPr>
        <w:drawing>
          <wp:inline distT="0" distB="0" distL="0" distR="0">
            <wp:extent cx="5486400" cy="3200400"/>
            <wp:effectExtent l="19050" t="0" r="0" b="0"/>
            <wp:docPr id="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F4AB4" w:rsidRPr="00B314AD" w:rsidRDefault="003F4AB4" w:rsidP="00911873">
      <w:pPr>
        <w:spacing w:after="0" w:line="240" w:lineRule="auto"/>
        <w:ind w:firstLine="708"/>
        <w:jc w:val="both"/>
        <w:rPr>
          <w:rFonts w:ascii="Times New Roman" w:hAnsi="Times New Roman"/>
          <w:b/>
          <w:sz w:val="28"/>
          <w:szCs w:val="28"/>
          <w:highlight w:val="yellow"/>
          <w:u w:val="single"/>
          <w:lang w:eastAsia="ru-RU"/>
        </w:rPr>
      </w:pPr>
    </w:p>
    <w:p w:rsidR="00357CAB" w:rsidRPr="00B5163F" w:rsidRDefault="00C750DF" w:rsidP="00911873">
      <w:pPr>
        <w:spacing w:after="0" w:line="240" w:lineRule="auto"/>
        <w:ind w:firstLine="708"/>
        <w:jc w:val="both"/>
        <w:rPr>
          <w:rFonts w:ascii="Times New Roman" w:hAnsi="Times New Roman"/>
          <w:b/>
          <w:sz w:val="28"/>
          <w:szCs w:val="28"/>
          <w:u w:val="single"/>
          <w:lang w:eastAsia="ru-RU"/>
        </w:rPr>
      </w:pPr>
      <w:r w:rsidRPr="00B5163F">
        <w:rPr>
          <w:rFonts w:ascii="Times New Roman" w:hAnsi="Times New Roman"/>
          <w:b/>
          <w:sz w:val="28"/>
          <w:szCs w:val="28"/>
          <w:u w:val="single"/>
          <w:lang w:eastAsia="ru-RU"/>
        </w:rPr>
        <w:t>Жилищное строительство и обеспечение граждан жильем</w:t>
      </w:r>
    </w:p>
    <w:p w:rsidR="00AD6D9E" w:rsidRPr="00B5163F" w:rsidRDefault="00AD6D9E" w:rsidP="00911873">
      <w:pPr>
        <w:spacing w:after="0" w:line="240" w:lineRule="auto"/>
        <w:ind w:firstLine="709"/>
        <w:jc w:val="both"/>
        <w:rPr>
          <w:rFonts w:ascii="Times New Roman" w:hAnsi="Times New Roman"/>
          <w:color w:val="000000"/>
          <w:sz w:val="28"/>
          <w:szCs w:val="28"/>
          <w:lang w:eastAsia="ru-RU"/>
        </w:rPr>
      </w:pPr>
      <w:r w:rsidRPr="00B5163F">
        <w:rPr>
          <w:rFonts w:ascii="Times New Roman" w:hAnsi="Times New Roman"/>
          <w:color w:val="000000"/>
          <w:sz w:val="28"/>
          <w:szCs w:val="28"/>
          <w:lang w:eastAsia="ru-RU"/>
        </w:rPr>
        <w:t>В рамках реализации региональной адресной программы по переселению граждан из аварийного жилищного фонда в Кимовском районе осуществлялось переселение в благоустроенное жилье граждан, проживающих в аварийном жилищном фонде.</w:t>
      </w:r>
    </w:p>
    <w:p w:rsidR="00FE4EF8" w:rsidRPr="00B5163F" w:rsidRDefault="00566484" w:rsidP="00FE4EF8">
      <w:pPr>
        <w:spacing w:after="0" w:line="240" w:lineRule="auto"/>
        <w:ind w:firstLine="709"/>
        <w:jc w:val="both"/>
        <w:rPr>
          <w:rFonts w:ascii="Times New Roman" w:hAnsi="Times New Roman"/>
          <w:sz w:val="28"/>
          <w:szCs w:val="28"/>
          <w:lang w:eastAsia="ru-RU"/>
        </w:rPr>
      </w:pPr>
      <w:r w:rsidRPr="00B5163F">
        <w:rPr>
          <w:rFonts w:ascii="Times New Roman" w:hAnsi="Times New Roman"/>
          <w:sz w:val="28"/>
          <w:szCs w:val="28"/>
          <w:lang w:eastAsia="ru-RU"/>
        </w:rPr>
        <w:t>О</w:t>
      </w:r>
      <w:r w:rsidR="0032757D" w:rsidRPr="00B5163F">
        <w:rPr>
          <w:rFonts w:ascii="Times New Roman" w:hAnsi="Times New Roman"/>
          <w:sz w:val="28"/>
          <w:szCs w:val="28"/>
          <w:lang w:eastAsia="ru-RU"/>
        </w:rPr>
        <w:t xml:space="preserve">бщая площадь </w:t>
      </w:r>
      <w:proofErr w:type="gramStart"/>
      <w:r w:rsidR="0032757D" w:rsidRPr="00B5163F">
        <w:rPr>
          <w:rFonts w:ascii="Times New Roman" w:hAnsi="Times New Roman"/>
          <w:sz w:val="28"/>
          <w:szCs w:val="28"/>
          <w:lang w:eastAsia="ru-RU"/>
        </w:rPr>
        <w:t xml:space="preserve">жилых помещений, </w:t>
      </w:r>
      <w:r w:rsidRPr="00B5163F">
        <w:rPr>
          <w:rFonts w:ascii="Times New Roman" w:hAnsi="Times New Roman"/>
          <w:sz w:val="28"/>
          <w:szCs w:val="28"/>
          <w:lang w:eastAsia="ru-RU"/>
        </w:rPr>
        <w:t xml:space="preserve"> </w:t>
      </w:r>
      <w:r w:rsidR="0032757D" w:rsidRPr="00B5163F">
        <w:rPr>
          <w:rFonts w:ascii="Times New Roman" w:hAnsi="Times New Roman"/>
          <w:sz w:val="28"/>
          <w:szCs w:val="28"/>
          <w:lang w:eastAsia="ru-RU"/>
        </w:rPr>
        <w:t xml:space="preserve">приходящихся на 1 жителя в </w:t>
      </w:r>
      <w:r w:rsidR="00B5163F" w:rsidRPr="00B5163F">
        <w:rPr>
          <w:rFonts w:ascii="Times New Roman" w:hAnsi="Times New Roman"/>
          <w:sz w:val="28"/>
          <w:szCs w:val="28"/>
          <w:lang w:eastAsia="ru-RU"/>
        </w:rPr>
        <w:t>2017</w:t>
      </w:r>
      <w:r w:rsidR="0032757D" w:rsidRPr="00B5163F">
        <w:rPr>
          <w:rFonts w:ascii="Times New Roman" w:hAnsi="Times New Roman"/>
          <w:sz w:val="28"/>
          <w:szCs w:val="28"/>
          <w:lang w:eastAsia="ru-RU"/>
        </w:rPr>
        <w:t xml:space="preserve"> году</w:t>
      </w:r>
      <w:r w:rsidRPr="00B5163F">
        <w:rPr>
          <w:rFonts w:ascii="Times New Roman" w:hAnsi="Times New Roman"/>
          <w:sz w:val="28"/>
          <w:szCs w:val="28"/>
          <w:lang w:eastAsia="ru-RU"/>
        </w:rPr>
        <w:t xml:space="preserve"> увеличилась</w:t>
      </w:r>
      <w:proofErr w:type="gramEnd"/>
      <w:r w:rsidRPr="00B5163F">
        <w:rPr>
          <w:rFonts w:ascii="Times New Roman" w:hAnsi="Times New Roman"/>
          <w:sz w:val="28"/>
          <w:szCs w:val="28"/>
          <w:lang w:eastAsia="ru-RU"/>
        </w:rPr>
        <w:t xml:space="preserve"> на</w:t>
      </w:r>
      <w:r w:rsidR="00B5163F" w:rsidRPr="00B5163F">
        <w:rPr>
          <w:rFonts w:ascii="Times New Roman" w:hAnsi="Times New Roman"/>
          <w:sz w:val="28"/>
          <w:szCs w:val="28"/>
          <w:lang w:eastAsia="ru-RU"/>
        </w:rPr>
        <w:t xml:space="preserve"> 2,7</w:t>
      </w:r>
      <w:r w:rsidRPr="00B5163F">
        <w:rPr>
          <w:rFonts w:ascii="Times New Roman" w:hAnsi="Times New Roman"/>
          <w:sz w:val="28"/>
          <w:szCs w:val="28"/>
          <w:lang w:eastAsia="ru-RU"/>
        </w:rPr>
        <w:t xml:space="preserve"> % и</w:t>
      </w:r>
      <w:r w:rsidR="0032757D" w:rsidRPr="00B5163F">
        <w:rPr>
          <w:rFonts w:ascii="Times New Roman" w:hAnsi="Times New Roman"/>
          <w:sz w:val="28"/>
          <w:szCs w:val="28"/>
          <w:lang w:eastAsia="ru-RU"/>
        </w:rPr>
        <w:t xml:space="preserve"> составила </w:t>
      </w:r>
      <w:r w:rsidR="00B5163F" w:rsidRPr="00B5163F">
        <w:rPr>
          <w:rFonts w:ascii="Times New Roman" w:hAnsi="Times New Roman"/>
          <w:sz w:val="28"/>
          <w:szCs w:val="28"/>
          <w:lang w:eastAsia="ru-RU"/>
        </w:rPr>
        <w:t>32,15</w:t>
      </w:r>
      <w:r w:rsidR="0032757D" w:rsidRPr="00B5163F">
        <w:rPr>
          <w:rFonts w:ascii="Times New Roman" w:hAnsi="Times New Roman"/>
          <w:sz w:val="28"/>
          <w:szCs w:val="28"/>
          <w:lang w:eastAsia="ru-RU"/>
        </w:rPr>
        <w:t xml:space="preserve"> кв.м.</w:t>
      </w:r>
      <w:r w:rsidR="00F977AD" w:rsidRPr="00B5163F">
        <w:rPr>
          <w:rFonts w:ascii="Times New Roman" w:hAnsi="Times New Roman"/>
          <w:sz w:val="28"/>
          <w:szCs w:val="28"/>
          <w:lang w:eastAsia="ru-RU"/>
        </w:rPr>
        <w:t xml:space="preserve"> </w:t>
      </w:r>
    </w:p>
    <w:p w:rsidR="00F32709" w:rsidRPr="00B5163F" w:rsidRDefault="00F32709" w:rsidP="00FE4EF8">
      <w:pPr>
        <w:spacing w:after="0" w:line="240" w:lineRule="auto"/>
        <w:ind w:firstLine="709"/>
        <w:jc w:val="both"/>
        <w:rPr>
          <w:rFonts w:ascii="Times New Roman" w:hAnsi="Times New Roman"/>
          <w:sz w:val="28"/>
          <w:szCs w:val="28"/>
          <w:lang w:eastAsia="ru-RU"/>
        </w:rPr>
      </w:pPr>
      <w:r w:rsidRPr="00B5163F">
        <w:rPr>
          <w:rFonts w:ascii="Times New Roman" w:hAnsi="Times New Roman"/>
          <w:noProof/>
          <w:sz w:val="28"/>
          <w:szCs w:val="28"/>
          <w:lang w:eastAsia="ru-RU"/>
        </w:rPr>
        <w:lastRenderedPageBreak/>
        <w:drawing>
          <wp:inline distT="0" distB="0" distL="0" distR="0">
            <wp:extent cx="5486400" cy="3200400"/>
            <wp:effectExtent l="1905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56F21" w:rsidRDefault="00F977AD" w:rsidP="00FE4EF8">
      <w:pPr>
        <w:spacing w:after="0" w:line="240" w:lineRule="auto"/>
        <w:ind w:firstLine="709"/>
        <w:jc w:val="both"/>
        <w:rPr>
          <w:rFonts w:ascii="Times New Roman" w:hAnsi="Times New Roman"/>
          <w:noProof/>
          <w:sz w:val="28"/>
          <w:szCs w:val="28"/>
          <w:highlight w:val="yellow"/>
          <w:lang w:eastAsia="ru-RU"/>
        </w:rPr>
      </w:pPr>
      <w:r w:rsidRPr="00B5163F">
        <w:rPr>
          <w:rFonts w:ascii="Times New Roman" w:hAnsi="Times New Roman"/>
          <w:sz w:val="28"/>
          <w:szCs w:val="28"/>
          <w:lang w:eastAsia="ru-RU"/>
        </w:rPr>
        <w:t>П</w:t>
      </w:r>
      <w:r w:rsidRPr="00B5163F">
        <w:rPr>
          <w:rFonts w:ascii="Times New Roman" w:hAnsi="Times New Roman"/>
          <w:color w:val="000000"/>
          <w:sz w:val="28"/>
          <w:szCs w:val="28"/>
          <w:lang w:eastAsia="ru-RU"/>
        </w:rPr>
        <w:t xml:space="preserve">ланируется </w:t>
      </w:r>
      <w:r w:rsidR="00544353" w:rsidRPr="00B5163F">
        <w:rPr>
          <w:rFonts w:ascii="Times New Roman" w:hAnsi="Times New Roman"/>
          <w:color w:val="000000"/>
          <w:sz w:val="28"/>
          <w:szCs w:val="28"/>
          <w:lang w:eastAsia="ru-RU"/>
        </w:rPr>
        <w:t>сохранение</w:t>
      </w:r>
      <w:r w:rsidRPr="00B5163F">
        <w:rPr>
          <w:rFonts w:ascii="Times New Roman" w:hAnsi="Times New Roman"/>
          <w:color w:val="000000"/>
          <w:sz w:val="28"/>
          <w:szCs w:val="28"/>
          <w:lang w:eastAsia="ru-RU"/>
        </w:rPr>
        <w:t xml:space="preserve"> значений рассматриваемого </w:t>
      </w:r>
      <w:r w:rsidRPr="00F56F21">
        <w:rPr>
          <w:rFonts w:ascii="Times New Roman" w:hAnsi="Times New Roman"/>
          <w:color w:val="000000"/>
          <w:sz w:val="28"/>
          <w:szCs w:val="28"/>
          <w:lang w:eastAsia="ru-RU"/>
        </w:rPr>
        <w:t>показателя на период 201</w:t>
      </w:r>
      <w:r w:rsidR="00DB3385" w:rsidRPr="00F56F21">
        <w:rPr>
          <w:rFonts w:ascii="Times New Roman" w:hAnsi="Times New Roman"/>
          <w:color w:val="000000"/>
          <w:sz w:val="28"/>
          <w:szCs w:val="28"/>
          <w:lang w:eastAsia="ru-RU"/>
        </w:rPr>
        <w:t>8</w:t>
      </w:r>
      <w:r w:rsidRPr="00F56F21">
        <w:rPr>
          <w:rFonts w:ascii="Times New Roman" w:hAnsi="Times New Roman"/>
          <w:color w:val="000000"/>
          <w:sz w:val="28"/>
          <w:szCs w:val="28"/>
          <w:lang w:eastAsia="ru-RU"/>
        </w:rPr>
        <w:t>-20</w:t>
      </w:r>
      <w:r w:rsidR="00DB3385" w:rsidRPr="00F56F21">
        <w:rPr>
          <w:rFonts w:ascii="Times New Roman" w:hAnsi="Times New Roman"/>
          <w:color w:val="000000"/>
          <w:sz w:val="28"/>
          <w:szCs w:val="28"/>
          <w:lang w:eastAsia="ru-RU"/>
        </w:rPr>
        <w:t>20</w:t>
      </w:r>
      <w:r w:rsidRPr="00F56F21">
        <w:rPr>
          <w:rFonts w:ascii="Times New Roman" w:hAnsi="Times New Roman"/>
          <w:color w:val="000000"/>
          <w:sz w:val="28"/>
          <w:szCs w:val="28"/>
          <w:lang w:eastAsia="ru-RU"/>
        </w:rPr>
        <w:t xml:space="preserve"> годов, что соответствует общей задаче по увеличению объемов жилищного строительства.</w:t>
      </w:r>
      <w:r w:rsidR="00FE4EF8" w:rsidRPr="00F56F21">
        <w:rPr>
          <w:rFonts w:ascii="Times New Roman" w:hAnsi="Times New Roman"/>
          <w:noProof/>
          <w:sz w:val="28"/>
          <w:szCs w:val="28"/>
          <w:lang w:eastAsia="ru-RU"/>
        </w:rPr>
        <w:t xml:space="preserve"> </w:t>
      </w:r>
    </w:p>
    <w:p w:rsidR="00294568" w:rsidRPr="00B314AD" w:rsidRDefault="0032757D" w:rsidP="00FE4EF8">
      <w:pPr>
        <w:spacing w:after="0" w:line="240" w:lineRule="auto"/>
        <w:ind w:firstLine="709"/>
        <w:jc w:val="both"/>
        <w:rPr>
          <w:rFonts w:ascii="Times New Roman" w:hAnsi="Times New Roman"/>
          <w:sz w:val="28"/>
          <w:szCs w:val="28"/>
          <w:highlight w:val="yellow"/>
          <w:lang w:eastAsia="ru-RU"/>
        </w:rPr>
      </w:pPr>
      <w:r w:rsidRPr="00E667B6">
        <w:rPr>
          <w:rFonts w:ascii="Times New Roman" w:hAnsi="Times New Roman"/>
          <w:sz w:val="28"/>
          <w:szCs w:val="28"/>
          <w:lang w:eastAsia="ru-RU"/>
        </w:rPr>
        <w:t>В 201</w:t>
      </w:r>
      <w:r w:rsidR="00DB3385" w:rsidRPr="00E667B6">
        <w:rPr>
          <w:rFonts w:ascii="Times New Roman" w:hAnsi="Times New Roman"/>
          <w:sz w:val="28"/>
          <w:szCs w:val="28"/>
          <w:lang w:eastAsia="ru-RU"/>
        </w:rPr>
        <w:t>7</w:t>
      </w:r>
      <w:r w:rsidRPr="00E667B6">
        <w:rPr>
          <w:rFonts w:ascii="Times New Roman" w:hAnsi="Times New Roman"/>
          <w:sz w:val="28"/>
          <w:szCs w:val="28"/>
          <w:lang w:eastAsia="ru-RU"/>
        </w:rPr>
        <w:t xml:space="preserve"> году в муниципальном районе общ</w:t>
      </w:r>
      <w:r w:rsidR="00DC507E" w:rsidRPr="00E667B6">
        <w:rPr>
          <w:rFonts w:ascii="Times New Roman" w:hAnsi="Times New Roman"/>
          <w:sz w:val="28"/>
          <w:szCs w:val="28"/>
          <w:lang w:eastAsia="ru-RU"/>
        </w:rPr>
        <w:t>ая</w:t>
      </w:r>
      <w:r w:rsidRPr="00E667B6">
        <w:rPr>
          <w:rFonts w:ascii="Times New Roman" w:hAnsi="Times New Roman"/>
          <w:sz w:val="28"/>
          <w:szCs w:val="28"/>
          <w:lang w:eastAsia="ru-RU"/>
        </w:rPr>
        <w:t xml:space="preserve"> площад</w:t>
      </w:r>
      <w:r w:rsidR="00DC507E" w:rsidRPr="00E667B6">
        <w:rPr>
          <w:rFonts w:ascii="Times New Roman" w:hAnsi="Times New Roman"/>
          <w:sz w:val="28"/>
          <w:szCs w:val="28"/>
          <w:lang w:eastAsia="ru-RU"/>
        </w:rPr>
        <w:t>ь</w:t>
      </w:r>
      <w:r w:rsidRPr="00E667B6">
        <w:rPr>
          <w:rFonts w:ascii="Times New Roman" w:hAnsi="Times New Roman"/>
          <w:sz w:val="28"/>
          <w:szCs w:val="28"/>
          <w:lang w:eastAsia="ru-RU"/>
        </w:rPr>
        <w:t xml:space="preserve"> земельных участков, предоставляемых для строительства в расчете на 10 тыс</w:t>
      </w:r>
      <w:proofErr w:type="gramStart"/>
      <w:r w:rsidRPr="00E667B6">
        <w:rPr>
          <w:rFonts w:ascii="Times New Roman" w:hAnsi="Times New Roman"/>
          <w:sz w:val="28"/>
          <w:szCs w:val="28"/>
          <w:lang w:eastAsia="ru-RU"/>
        </w:rPr>
        <w:t>.ч</w:t>
      </w:r>
      <w:proofErr w:type="gramEnd"/>
      <w:r w:rsidRPr="00E667B6">
        <w:rPr>
          <w:rFonts w:ascii="Times New Roman" w:hAnsi="Times New Roman"/>
          <w:sz w:val="28"/>
          <w:szCs w:val="28"/>
          <w:lang w:eastAsia="ru-RU"/>
        </w:rPr>
        <w:t xml:space="preserve">еловек населения </w:t>
      </w:r>
      <w:r w:rsidR="00D70F99" w:rsidRPr="00E667B6">
        <w:rPr>
          <w:rFonts w:ascii="Times New Roman" w:hAnsi="Times New Roman"/>
          <w:sz w:val="28"/>
          <w:szCs w:val="28"/>
          <w:lang w:eastAsia="ru-RU"/>
        </w:rPr>
        <w:t xml:space="preserve">составила </w:t>
      </w:r>
      <w:r w:rsidR="00C636D5" w:rsidRPr="00E667B6">
        <w:rPr>
          <w:rFonts w:ascii="Times New Roman" w:hAnsi="Times New Roman"/>
          <w:sz w:val="28"/>
          <w:szCs w:val="28"/>
          <w:lang w:eastAsia="ru-RU"/>
        </w:rPr>
        <w:t>0,8</w:t>
      </w:r>
      <w:r w:rsidR="00E667B6" w:rsidRPr="00E667B6">
        <w:rPr>
          <w:rFonts w:ascii="Times New Roman" w:hAnsi="Times New Roman"/>
          <w:sz w:val="28"/>
          <w:szCs w:val="28"/>
          <w:lang w:eastAsia="ru-RU"/>
        </w:rPr>
        <w:t>5</w:t>
      </w:r>
      <w:r w:rsidR="00D70F99" w:rsidRPr="00E667B6">
        <w:rPr>
          <w:rFonts w:ascii="Times New Roman" w:hAnsi="Times New Roman"/>
          <w:sz w:val="28"/>
          <w:szCs w:val="28"/>
          <w:lang w:eastAsia="ru-RU"/>
        </w:rPr>
        <w:t xml:space="preserve"> </w:t>
      </w:r>
      <w:r w:rsidRPr="00E667B6">
        <w:rPr>
          <w:rFonts w:ascii="Times New Roman" w:hAnsi="Times New Roman"/>
          <w:sz w:val="28"/>
          <w:szCs w:val="28"/>
          <w:lang w:eastAsia="ru-RU"/>
        </w:rPr>
        <w:t>га</w:t>
      </w:r>
      <w:r w:rsidR="002C6165">
        <w:rPr>
          <w:rFonts w:ascii="Times New Roman" w:hAnsi="Times New Roman"/>
          <w:sz w:val="28"/>
          <w:szCs w:val="28"/>
          <w:lang w:eastAsia="ru-RU"/>
        </w:rPr>
        <w:t xml:space="preserve">, </w:t>
      </w:r>
      <w:r w:rsidR="002C6165" w:rsidRPr="002C6165">
        <w:rPr>
          <w:rFonts w:ascii="Times New Roman" w:hAnsi="Times New Roman"/>
          <w:sz w:val="28"/>
          <w:szCs w:val="28"/>
          <w:lang w:eastAsia="ru-RU"/>
        </w:rPr>
        <w:t xml:space="preserve">в </w:t>
      </w:r>
      <w:r w:rsidR="00294568" w:rsidRPr="002C6165">
        <w:rPr>
          <w:rFonts w:ascii="Times New Roman" w:hAnsi="Times New Roman"/>
          <w:sz w:val="28"/>
          <w:szCs w:val="28"/>
          <w:lang w:eastAsia="ru-RU"/>
        </w:rPr>
        <w:t xml:space="preserve"> 2016 году</w:t>
      </w:r>
      <w:r w:rsidR="002C6165" w:rsidRPr="002C6165">
        <w:rPr>
          <w:rFonts w:ascii="Times New Roman" w:hAnsi="Times New Roman"/>
          <w:sz w:val="28"/>
          <w:szCs w:val="28"/>
          <w:lang w:eastAsia="ru-RU"/>
        </w:rPr>
        <w:t>- 0,80 га</w:t>
      </w:r>
      <w:r w:rsidR="00294568" w:rsidRPr="002C6165">
        <w:rPr>
          <w:rFonts w:ascii="Times New Roman" w:hAnsi="Times New Roman"/>
          <w:sz w:val="28"/>
          <w:szCs w:val="28"/>
          <w:lang w:eastAsia="ru-RU"/>
        </w:rPr>
        <w:t>.</w:t>
      </w:r>
    </w:p>
    <w:p w:rsidR="004F74F0" w:rsidRPr="004E35DF" w:rsidRDefault="004F74F0" w:rsidP="00911873">
      <w:pPr>
        <w:spacing w:after="0" w:line="240" w:lineRule="auto"/>
        <w:ind w:firstLine="709"/>
        <w:jc w:val="both"/>
        <w:rPr>
          <w:rFonts w:ascii="Times New Roman" w:hAnsi="Times New Roman"/>
          <w:color w:val="000000"/>
          <w:sz w:val="28"/>
          <w:szCs w:val="28"/>
          <w:lang w:eastAsia="ru-RU"/>
        </w:rPr>
      </w:pPr>
      <w:r w:rsidRPr="004E35DF">
        <w:rPr>
          <w:rFonts w:ascii="Times New Roman" w:hAnsi="Times New Roman"/>
          <w:color w:val="000000"/>
          <w:sz w:val="28"/>
          <w:szCs w:val="28"/>
          <w:lang w:eastAsia="ru-RU"/>
        </w:rPr>
        <w:t>В соответствии со статьей 161 Жилищного кодекса РФ собственники жилых помещений в многоквартирных домах имеют возможность самостоятельно выбрать один из способов управления: непосредственное управление, управление товариществом собственников жилья или управление управляющей компанией.</w:t>
      </w:r>
    </w:p>
    <w:p w:rsidR="00F977AD" w:rsidRPr="004E35DF" w:rsidRDefault="00F977AD" w:rsidP="00911873">
      <w:pPr>
        <w:spacing w:after="0" w:line="240" w:lineRule="auto"/>
        <w:ind w:firstLine="708"/>
        <w:jc w:val="both"/>
        <w:rPr>
          <w:rFonts w:ascii="Times New Roman" w:hAnsi="Times New Roman"/>
          <w:sz w:val="28"/>
          <w:szCs w:val="28"/>
          <w:lang w:eastAsia="ru-RU"/>
        </w:rPr>
      </w:pPr>
      <w:r w:rsidRPr="004E35DF">
        <w:rPr>
          <w:rFonts w:ascii="Times New Roman" w:hAnsi="Times New Roman"/>
          <w:sz w:val="28"/>
          <w:szCs w:val="28"/>
          <w:lang w:eastAsia="ru-RU"/>
        </w:rPr>
        <w:t xml:space="preserve">В </w:t>
      </w:r>
      <w:r w:rsidR="004F74F0" w:rsidRPr="004E35DF">
        <w:rPr>
          <w:rFonts w:ascii="Times New Roman" w:hAnsi="Times New Roman"/>
          <w:sz w:val="28"/>
          <w:szCs w:val="28"/>
          <w:lang w:eastAsia="ru-RU"/>
        </w:rPr>
        <w:t xml:space="preserve">Кимовском </w:t>
      </w:r>
      <w:r w:rsidRPr="004E35DF">
        <w:rPr>
          <w:rFonts w:ascii="Times New Roman" w:hAnsi="Times New Roman"/>
          <w:sz w:val="28"/>
          <w:szCs w:val="28"/>
          <w:lang w:eastAsia="ru-RU"/>
        </w:rPr>
        <w:t xml:space="preserve">районе </w:t>
      </w:r>
      <w:r w:rsidR="00E30234" w:rsidRPr="004E35DF">
        <w:rPr>
          <w:rFonts w:ascii="Times New Roman" w:hAnsi="Times New Roman"/>
          <w:sz w:val="28"/>
          <w:szCs w:val="28"/>
          <w:lang w:eastAsia="ru-RU"/>
        </w:rPr>
        <w:t>100</w:t>
      </w:r>
      <w:r w:rsidRPr="004E35DF">
        <w:rPr>
          <w:rFonts w:ascii="Times New Roman" w:hAnsi="Times New Roman"/>
          <w:sz w:val="28"/>
          <w:szCs w:val="28"/>
          <w:lang w:eastAsia="ru-RU"/>
        </w:rPr>
        <w:t xml:space="preserve"> процентов собственников помещений многоквартирных домов выбрали один из способов управления многоквартирными домами.</w:t>
      </w:r>
    </w:p>
    <w:p w:rsidR="00BE2B8D" w:rsidRPr="00B314AD" w:rsidRDefault="00C3401C" w:rsidP="00BE2B8D">
      <w:pPr>
        <w:spacing w:after="0" w:line="240" w:lineRule="auto"/>
        <w:ind w:firstLine="1"/>
        <w:jc w:val="both"/>
        <w:rPr>
          <w:rFonts w:ascii="Times New Roman" w:hAnsi="Times New Roman"/>
          <w:sz w:val="28"/>
          <w:szCs w:val="28"/>
          <w:highlight w:val="yellow"/>
          <w:lang w:eastAsia="ru-RU"/>
        </w:rPr>
      </w:pPr>
      <w:r w:rsidRPr="00C8379A">
        <w:rPr>
          <w:rFonts w:ascii="Times New Roman" w:hAnsi="Times New Roman"/>
          <w:noProof/>
          <w:sz w:val="28"/>
          <w:szCs w:val="28"/>
          <w:lang w:eastAsia="ru-RU"/>
        </w:rPr>
        <w:lastRenderedPageBreak/>
        <w:drawing>
          <wp:inline distT="0" distB="0" distL="0" distR="0">
            <wp:extent cx="5486400" cy="3200400"/>
            <wp:effectExtent l="1905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51A9E" w:rsidRPr="00BA5871" w:rsidRDefault="00551A9E" w:rsidP="00BE2B8D">
      <w:pPr>
        <w:spacing w:after="0" w:line="240" w:lineRule="auto"/>
        <w:ind w:firstLine="708"/>
        <w:jc w:val="both"/>
        <w:rPr>
          <w:rFonts w:ascii="Times New Roman" w:hAnsi="Times New Roman"/>
          <w:sz w:val="28"/>
          <w:szCs w:val="28"/>
          <w:lang w:eastAsia="ru-RU"/>
        </w:rPr>
      </w:pPr>
      <w:r w:rsidRPr="00BA5871">
        <w:rPr>
          <w:rFonts w:ascii="Times New Roman" w:hAnsi="Times New Roman"/>
          <w:sz w:val="28"/>
          <w:szCs w:val="28"/>
          <w:lang w:eastAsia="ru-RU"/>
        </w:rPr>
        <w:t>В районе постепенно осуществляется государственный кадастровый учет земельных участков под многоквартирными домами. В 201</w:t>
      </w:r>
      <w:r w:rsidR="00BA5871" w:rsidRPr="00BA5871">
        <w:rPr>
          <w:rFonts w:ascii="Times New Roman" w:hAnsi="Times New Roman"/>
          <w:sz w:val="28"/>
          <w:szCs w:val="28"/>
          <w:lang w:eastAsia="ru-RU"/>
        </w:rPr>
        <w:t>7</w:t>
      </w:r>
      <w:r w:rsidRPr="00BA5871">
        <w:rPr>
          <w:rFonts w:ascii="Times New Roman" w:hAnsi="Times New Roman"/>
          <w:sz w:val="28"/>
          <w:szCs w:val="28"/>
          <w:lang w:eastAsia="ru-RU"/>
        </w:rPr>
        <w:t xml:space="preserve"> году доля многоквартирных домов, расположенных на земельных участках, в отношении которых осуществлен государственный кадастровый учет</w:t>
      </w:r>
      <w:r w:rsidR="00D92939" w:rsidRPr="00BA5871">
        <w:rPr>
          <w:rFonts w:ascii="Times New Roman" w:hAnsi="Times New Roman"/>
          <w:sz w:val="28"/>
          <w:szCs w:val="28"/>
          <w:lang w:eastAsia="ru-RU"/>
        </w:rPr>
        <w:t>,</w:t>
      </w:r>
      <w:r w:rsidRPr="00BA5871">
        <w:rPr>
          <w:rFonts w:ascii="Times New Roman" w:hAnsi="Times New Roman"/>
          <w:sz w:val="28"/>
          <w:szCs w:val="28"/>
          <w:lang w:eastAsia="ru-RU"/>
        </w:rPr>
        <w:t xml:space="preserve"> составила </w:t>
      </w:r>
      <w:r w:rsidR="00BA5871" w:rsidRPr="00BA5871">
        <w:rPr>
          <w:rFonts w:ascii="Times New Roman" w:hAnsi="Times New Roman"/>
          <w:sz w:val="28"/>
          <w:szCs w:val="28"/>
          <w:lang w:eastAsia="ru-RU"/>
        </w:rPr>
        <w:t>50,2</w:t>
      </w:r>
      <w:r w:rsidRPr="00BA5871">
        <w:rPr>
          <w:rFonts w:ascii="Times New Roman" w:hAnsi="Times New Roman"/>
          <w:sz w:val="28"/>
          <w:szCs w:val="28"/>
          <w:lang w:eastAsia="ru-RU"/>
        </w:rPr>
        <w:t xml:space="preserve"> %</w:t>
      </w:r>
      <w:r w:rsidR="004B71B6" w:rsidRPr="00BA5871">
        <w:rPr>
          <w:rFonts w:ascii="Times New Roman" w:hAnsi="Times New Roman"/>
          <w:sz w:val="28"/>
          <w:szCs w:val="28"/>
          <w:lang w:eastAsia="ru-RU"/>
        </w:rPr>
        <w:t xml:space="preserve"> (в 201</w:t>
      </w:r>
      <w:r w:rsidR="00BA5871" w:rsidRPr="00BA5871">
        <w:rPr>
          <w:rFonts w:ascii="Times New Roman" w:hAnsi="Times New Roman"/>
          <w:sz w:val="28"/>
          <w:szCs w:val="28"/>
          <w:lang w:eastAsia="ru-RU"/>
        </w:rPr>
        <w:t>6</w:t>
      </w:r>
      <w:r w:rsidR="004B71B6" w:rsidRPr="00BA5871">
        <w:rPr>
          <w:rFonts w:ascii="Times New Roman" w:hAnsi="Times New Roman"/>
          <w:sz w:val="28"/>
          <w:szCs w:val="28"/>
          <w:lang w:eastAsia="ru-RU"/>
        </w:rPr>
        <w:t xml:space="preserve"> году – </w:t>
      </w:r>
      <w:r w:rsidR="000022D1" w:rsidRPr="00BA5871">
        <w:rPr>
          <w:rFonts w:ascii="Times New Roman" w:hAnsi="Times New Roman"/>
          <w:sz w:val="28"/>
          <w:szCs w:val="28"/>
          <w:lang w:eastAsia="ru-RU"/>
        </w:rPr>
        <w:t>4</w:t>
      </w:r>
      <w:r w:rsidR="00BA5871" w:rsidRPr="00BA5871">
        <w:rPr>
          <w:rFonts w:ascii="Times New Roman" w:hAnsi="Times New Roman"/>
          <w:sz w:val="28"/>
          <w:szCs w:val="28"/>
          <w:lang w:eastAsia="ru-RU"/>
        </w:rPr>
        <w:t>9</w:t>
      </w:r>
      <w:r w:rsidR="004B71B6" w:rsidRPr="00BA5871">
        <w:rPr>
          <w:rFonts w:ascii="Times New Roman" w:hAnsi="Times New Roman"/>
          <w:sz w:val="28"/>
          <w:szCs w:val="28"/>
          <w:lang w:eastAsia="ru-RU"/>
        </w:rPr>
        <w:t>%)</w:t>
      </w:r>
      <w:r w:rsidRPr="00BA5871">
        <w:rPr>
          <w:rFonts w:ascii="Times New Roman" w:hAnsi="Times New Roman"/>
          <w:sz w:val="28"/>
          <w:szCs w:val="28"/>
          <w:lang w:eastAsia="ru-RU"/>
        </w:rPr>
        <w:t>, к 20</w:t>
      </w:r>
      <w:r w:rsidR="00BA5871" w:rsidRPr="00BA5871">
        <w:rPr>
          <w:rFonts w:ascii="Times New Roman" w:hAnsi="Times New Roman"/>
          <w:sz w:val="28"/>
          <w:szCs w:val="28"/>
          <w:lang w:eastAsia="ru-RU"/>
        </w:rPr>
        <w:t>20</w:t>
      </w:r>
      <w:r w:rsidRPr="00BA5871">
        <w:rPr>
          <w:rFonts w:ascii="Times New Roman" w:hAnsi="Times New Roman"/>
          <w:sz w:val="28"/>
          <w:szCs w:val="28"/>
          <w:lang w:eastAsia="ru-RU"/>
        </w:rPr>
        <w:t xml:space="preserve"> году – планируется</w:t>
      </w:r>
      <w:r w:rsidR="004B71B6" w:rsidRPr="00BA5871">
        <w:rPr>
          <w:rFonts w:ascii="Times New Roman" w:hAnsi="Times New Roman"/>
          <w:sz w:val="28"/>
          <w:szCs w:val="28"/>
          <w:lang w:eastAsia="ru-RU"/>
        </w:rPr>
        <w:t xml:space="preserve"> довести значение данного показателя до</w:t>
      </w:r>
      <w:r w:rsidRPr="00BA5871">
        <w:rPr>
          <w:rFonts w:ascii="Times New Roman" w:hAnsi="Times New Roman"/>
          <w:sz w:val="28"/>
          <w:szCs w:val="28"/>
          <w:lang w:eastAsia="ru-RU"/>
        </w:rPr>
        <w:t xml:space="preserve"> </w:t>
      </w:r>
      <w:r w:rsidR="00196318" w:rsidRPr="00BA5871">
        <w:rPr>
          <w:rFonts w:ascii="Times New Roman" w:hAnsi="Times New Roman"/>
          <w:sz w:val="28"/>
          <w:szCs w:val="28"/>
          <w:lang w:eastAsia="ru-RU"/>
        </w:rPr>
        <w:t>6</w:t>
      </w:r>
      <w:r w:rsidR="00BA5871" w:rsidRPr="00BA5871">
        <w:rPr>
          <w:rFonts w:ascii="Times New Roman" w:hAnsi="Times New Roman"/>
          <w:sz w:val="28"/>
          <w:szCs w:val="28"/>
          <w:lang w:eastAsia="ru-RU"/>
        </w:rPr>
        <w:t>4</w:t>
      </w:r>
      <w:r w:rsidRPr="00BA5871">
        <w:rPr>
          <w:rFonts w:ascii="Times New Roman" w:hAnsi="Times New Roman"/>
          <w:sz w:val="28"/>
          <w:szCs w:val="28"/>
          <w:lang w:eastAsia="ru-RU"/>
        </w:rPr>
        <w:t xml:space="preserve"> %.</w:t>
      </w:r>
    </w:p>
    <w:p w:rsidR="005B19B0" w:rsidRPr="00B314AD" w:rsidRDefault="005B19B0" w:rsidP="00911873">
      <w:pPr>
        <w:spacing w:after="0" w:line="240" w:lineRule="auto"/>
        <w:ind w:firstLine="709"/>
        <w:jc w:val="both"/>
        <w:rPr>
          <w:rFonts w:ascii="Times New Roman" w:hAnsi="Times New Roman"/>
          <w:sz w:val="28"/>
          <w:szCs w:val="28"/>
          <w:highlight w:val="yellow"/>
          <w:lang w:eastAsia="ru-RU"/>
        </w:rPr>
      </w:pPr>
      <w:r w:rsidRPr="006909FF">
        <w:rPr>
          <w:rFonts w:ascii="Times New Roman" w:hAnsi="Times New Roman"/>
          <w:noProof/>
          <w:sz w:val="28"/>
          <w:szCs w:val="28"/>
          <w:lang w:eastAsia="ru-RU"/>
        </w:rPr>
        <w:drawing>
          <wp:inline distT="0" distB="0" distL="0" distR="0">
            <wp:extent cx="5486400" cy="3457575"/>
            <wp:effectExtent l="0" t="0" r="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341CC" w:rsidRPr="00C8379A" w:rsidRDefault="000341CC" w:rsidP="00911873">
      <w:pPr>
        <w:spacing w:after="0" w:line="240" w:lineRule="auto"/>
        <w:ind w:firstLine="720"/>
        <w:jc w:val="both"/>
        <w:rPr>
          <w:rFonts w:ascii="Times New Roman" w:hAnsi="Times New Roman"/>
          <w:sz w:val="28"/>
          <w:u w:val="single"/>
        </w:rPr>
      </w:pPr>
      <w:r w:rsidRPr="00C8379A">
        <w:rPr>
          <w:rFonts w:ascii="Times New Roman" w:hAnsi="Times New Roman"/>
          <w:b/>
          <w:sz w:val="28"/>
          <w:szCs w:val="28"/>
          <w:u w:val="single"/>
        </w:rPr>
        <w:t>Организация муниципального управления</w:t>
      </w:r>
    </w:p>
    <w:p w:rsidR="000341CC" w:rsidRPr="00C8379A" w:rsidRDefault="000341CC" w:rsidP="00911873">
      <w:pPr>
        <w:spacing w:after="0" w:line="240" w:lineRule="auto"/>
        <w:ind w:firstLine="709"/>
        <w:jc w:val="both"/>
        <w:rPr>
          <w:rFonts w:ascii="Times New Roman" w:hAnsi="Times New Roman"/>
          <w:sz w:val="28"/>
          <w:szCs w:val="28"/>
          <w:lang w:eastAsia="ru-RU"/>
        </w:rPr>
      </w:pPr>
      <w:r w:rsidRPr="00C8379A">
        <w:rPr>
          <w:rFonts w:ascii="Times New Roman" w:hAnsi="Times New Roman"/>
          <w:sz w:val="28"/>
          <w:szCs w:val="28"/>
          <w:lang w:eastAsia="ru-RU"/>
        </w:rPr>
        <w:t xml:space="preserve">Эффективность власти определяется тем, насколько эффективна власть на первичном, низовом уровне – в муниципальном образовании. </w:t>
      </w:r>
    </w:p>
    <w:p w:rsidR="00E617FE" w:rsidRPr="00C8379A" w:rsidRDefault="00E617FE" w:rsidP="00911873">
      <w:pPr>
        <w:spacing w:after="0" w:line="240" w:lineRule="auto"/>
        <w:ind w:firstLine="709"/>
        <w:jc w:val="both"/>
        <w:rPr>
          <w:rFonts w:ascii="Times New Roman" w:eastAsia="MS Mincho" w:hAnsi="Times New Roman"/>
          <w:sz w:val="28"/>
          <w:szCs w:val="28"/>
          <w:lang w:eastAsia="ru-RU"/>
        </w:rPr>
      </w:pPr>
      <w:r w:rsidRPr="00C8379A">
        <w:rPr>
          <w:rFonts w:ascii="Times New Roman" w:eastAsia="MS Mincho" w:hAnsi="Times New Roman"/>
          <w:sz w:val="28"/>
          <w:szCs w:val="28"/>
          <w:lang w:eastAsia="ru-RU"/>
        </w:rPr>
        <w:t xml:space="preserve">Пополнение доходной базы бюджета муниципального образования является прямой обязанностью местной власти и как следствие показателем ее эффективности. </w:t>
      </w:r>
    </w:p>
    <w:p w:rsidR="0032757D" w:rsidRPr="00817F7C" w:rsidRDefault="00551A9E" w:rsidP="00911873">
      <w:pPr>
        <w:spacing w:after="0" w:line="240" w:lineRule="auto"/>
        <w:ind w:firstLine="708"/>
        <w:jc w:val="both"/>
        <w:rPr>
          <w:rFonts w:ascii="Times New Roman" w:hAnsi="Times New Roman"/>
          <w:sz w:val="28"/>
          <w:szCs w:val="28"/>
          <w:lang w:eastAsia="ru-RU"/>
        </w:rPr>
      </w:pPr>
      <w:r w:rsidRPr="00817F7C">
        <w:rPr>
          <w:rFonts w:ascii="Times New Roman" w:hAnsi="Times New Roman"/>
          <w:sz w:val="28"/>
          <w:szCs w:val="28"/>
          <w:lang w:eastAsia="ru-RU"/>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(без учета субвенций) в 201</w:t>
      </w:r>
      <w:r w:rsidR="00817F7C" w:rsidRPr="00817F7C">
        <w:rPr>
          <w:rFonts w:ascii="Times New Roman" w:hAnsi="Times New Roman"/>
          <w:sz w:val="28"/>
          <w:szCs w:val="28"/>
          <w:lang w:eastAsia="ru-RU"/>
        </w:rPr>
        <w:t>7</w:t>
      </w:r>
      <w:r w:rsidRPr="00817F7C">
        <w:rPr>
          <w:rFonts w:ascii="Times New Roman" w:hAnsi="Times New Roman"/>
          <w:sz w:val="28"/>
          <w:szCs w:val="28"/>
          <w:lang w:eastAsia="ru-RU"/>
        </w:rPr>
        <w:t xml:space="preserve"> году составил</w:t>
      </w:r>
      <w:r w:rsidR="009166C5" w:rsidRPr="00817F7C">
        <w:rPr>
          <w:rFonts w:ascii="Times New Roman" w:hAnsi="Times New Roman"/>
          <w:sz w:val="28"/>
          <w:szCs w:val="28"/>
          <w:lang w:eastAsia="ru-RU"/>
        </w:rPr>
        <w:t>а</w:t>
      </w:r>
      <w:r w:rsidRPr="00817F7C">
        <w:rPr>
          <w:rFonts w:ascii="Times New Roman" w:hAnsi="Times New Roman"/>
          <w:sz w:val="28"/>
          <w:szCs w:val="28"/>
          <w:lang w:eastAsia="ru-RU"/>
        </w:rPr>
        <w:t xml:space="preserve"> </w:t>
      </w:r>
      <w:r w:rsidR="00817F7C" w:rsidRPr="00817F7C">
        <w:rPr>
          <w:rFonts w:ascii="Times New Roman" w:hAnsi="Times New Roman"/>
          <w:sz w:val="28"/>
          <w:szCs w:val="28"/>
          <w:lang w:eastAsia="ru-RU"/>
        </w:rPr>
        <w:t>50,2</w:t>
      </w:r>
      <w:r w:rsidRPr="00817F7C">
        <w:rPr>
          <w:rFonts w:ascii="Times New Roman" w:hAnsi="Times New Roman"/>
          <w:sz w:val="28"/>
          <w:szCs w:val="28"/>
          <w:lang w:eastAsia="ru-RU"/>
        </w:rPr>
        <w:t xml:space="preserve"> %, что на </w:t>
      </w:r>
      <w:r w:rsidR="00817F7C" w:rsidRPr="00817F7C">
        <w:rPr>
          <w:rFonts w:ascii="Times New Roman" w:hAnsi="Times New Roman"/>
          <w:sz w:val="28"/>
          <w:szCs w:val="28"/>
          <w:lang w:eastAsia="ru-RU"/>
        </w:rPr>
        <w:t>18,1</w:t>
      </w:r>
      <w:r w:rsidRPr="00817F7C">
        <w:rPr>
          <w:rFonts w:ascii="Times New Roman" w:hAnsi="Times New Roman"/>
          <w:sz w:val="28"/>
          <w:szCs w:val="28"/>
          <w:lang w:eastAsia="ru-RU"/>
        </w:rPr>
        <w:t xml:space="preserve"> процентных пункта </w:t>
      </w:r>
      <w:r w:rsidR="00684686" w:rsidRPr="00817F7C">
        <w:rPr>
          <w:rFonts w:ascii="Times New Roman" w:hAnsi="Times New Roman"/>
          <w:sz w:val="28"/>
          <w:szCs w:val="28"/>
          <w:lang w:eastAsia="ru-RU"/>
        </w:rPr>
        <w:t>выше</w:t>
      </w:r>
      <w:r w:rsidRPr="00817F7C">
        <w:rPr>
          <w:rFonts w:ascii="Times New Roman" w:hAnsi="Times New Roman"/>
          <w:sz w:val="28"/>
          <w:szCs w:val="28"/>
          <w:lang w:eastAsia="ru-RU"/>
        </w:rPr>
        <w:t xml:space="preserve"> уровня 201</w:t>
      </w:r>
      <w:r w:rsidR="00817F7C" w:rsidRPr="00817F7C">
        <w:rPr>
          <w:rFonts w:ascii="Times New Roman" w:hAnsi="Times New Roman"/>
          <w:sz w:val="28"/>
          <w:szCs w:val="28"/>
          <w:lang w:eastAsia="ru-RU"/>
        </w:rPr>
        <w:t>6</w:t>
      </w:r>
      <w:r w:rsidRPr="00817F7C">
        <w:rPr>
          <w:rFonts w:ascii="Times New Roman" w:hAnsi="Times New Roman"/>
          <w:sz w:val="28"/>
          <w:szCs w:val="28"/>
          <w:lang w:eastAsia="ru-RU"/>
        </w:rPr>
        <w:t xml:space="preserve"> года (</w:t>
      </w:r>
      <w:r w:rsidR="00817F7C" w:rsidRPr="00817F7C">
        <w:rPr>
          <w:rFonts w:ascii="Times New Roman" w:hAnsi="Times New Roman"/>
          <w:sz w:val="28"/>
          <w:szCs w:val="28"/>
          <w:lang w:eastAsia="ru-RU"/>
        </w:rPr>
        <w:t>32,1</w:t>
      </w:r>
      <w:r w:rsidR="009166C5" w:rsidRPr="00817F7C">
        <w:rPr>
          <w:rFonts w:ascii="Times New Roman" w:hAnsi="Times New Roman"/>
          <w:sz w:val="28"/>
          <w:szCs w:val="28"/>
          <w:lang w:eastAsia="ru-RU"/>
        </w:rPr>
        <w:t xml:space="preserve"> </w:t>
      </w:r>
      <w:r w:rsidRPr="00817F7C">
        <w:rPr>
          <w:rFonts w:ascii="Times New Roman" w:hAnsi="Times New Roman"/>
          <w:sz w:val="28"/>
          <w:szCs w:val="28"/>
          <w:lang w:eastAsia="ru-RU"/>
        </w:rPr>
        <w:t>%)</w:t>
      </w:r>
      <w:r w:rsidR="008F7FA3">
        <w:rPr>
          <w:rFonts w:ascii="Times New Roman" w:hAnsi="Times New Roman"/>
          <w:sz w:val="28"/>
          <w:szCs w:val="28"/>
          <w:lang w:eastAsia="ru-RU"/>
        </w:rPr>
        <w:t xml:space="preserve">. </w:t>
      </w:r>
      <w:r w:rsidR="00C53348" w:rsidRPr="00817F7C">
        <w:rPr>
          <w:rFonts w:ascii="Times New Roman" w:hAnsi="Times New Roman"/>
          <w:sz w:val="28"/>
          <w:szCs w:val="28"/>
          <w:lang w:eastAsia="ru-RU"/>
        </w:rPr>
        <w:t>К</w:t>
      </w:r>
      <w:r w:rsidRPr="00817F7C">
        <w:rPr>
          <w:rFonts w:ascii="Times New Roman" w:hAnsi="Times New Roman"/>
          <w:sz w:val="28"/>
          <w:szCs w:val="28"/>
          <w:lang w:eastAsia="ru-RU"/>
        </w:rPr>
        <w:t xml:space="preserve"> 20</w:t>
      </w:r>
      <w:r w:rsidR="00817F7C" w:rsidRPr="00817F7C">
        <w:rPr>
          <w:rFonts w:ascii="Times New Roman" w:hAnsi="Times New Roman"/>
          <w:sz w:val="28"/>
          <w:szCs w:val="28"/>
          <w:lang w:eastAsia="ru-RU"/>
        </w:rPr>
        <w:t>20</w:t>
      </w:r>
      <w:r w:rsidRPr="00817F7C">
        <w:rPr>
          <w:rFonts w:ascii="Times New Roman" w:hAnsi="Times New Roman"/>
          <w:sz w:val="28"/>
          <w:szCs w:val="28"/>
          <w:lang w:eastAsia="ru-RU"/>
        </w:rPr>
        <w:t xml:space="preserve"> году доля данного показателя планируется на уровне </w:t>
      </w:r>
      <w:r w:rsidR="00E16D6F" w:rsidRPr="00817F7C">
        <w:rPr>
          <w:rFonts w:ascii="Times New Roman" w:hAnsi="Times New Roman"/>
          <w:sz w:val="28"/>
          <w:szCs w:val="28"/>
          <w:lang w:eastAsia="ru-RU"/>
        </w:rPr>
        <w:t>8</w:t>
      </w:r>
      <w:r w:rsidR="00817F7C" w:rsidRPr="00817F7C">
        <w:rPr>
          <w:rFonts w:ascii="Times New Roman" w:hAnsi="Times New Roman"/>
          <w:sz w:val="28"/>
          <w:szCs w:val="28"/>
          <w:lang w:eastAsia="ru-RU"/>
        </w:rPr>
        <w:t>4,7</w:t>
      </w:r>
      <w:r w:rsidR="00F30F9F" w:rsidRPr="00817F7C">
        <w:rPr>
          <w:rFonts w:ascii="Times New Roman" w:hAnsi="Times New Roman"/>
          <w:sz w:val="28"/>
          <w:szCs w:val="28"/>
          <w:lang w:eastAsia="ru-RU"/>
        </w:rPr>
        <w:t xml:space="preserve"> </w:t>
      </w:r>
      <w:r w:rsidRPr="00817F7C">
        <w:rPr>
          <w:rFonts w:ascii="Times New Roman" w:hAnsi="Times New Roman"/>
          <w:sz w:val="28"/>
          <w:szCs w:val="28"/>
          <w:lang w:eastAsia="ru-RU"/>
        </w:rPr>
        <w:t>процент</w:t>
      </w:r>
      <w:r w:rsidR="003A11D8" w:rsidRPr="00817F7C">
        <w:rPr>
          <w:rFonts w:ascii="Times New Roman" w:hAnsi="Times New Roman"/>
          <w:sz w:val="28"/>
          <w:szCs w:val="28"/>
          <w:lang w:eastAsia="ru-RU"/>
        </w:rPr>
        <w:t>а</w:t>
      </w:r>
      <w:r w:rsidRPr="00817F7C">
        <w:rPr>
          <w:rFonts w:ascii="Times New Roman" w:hAnsi="Times New Roman"/>
          <w:sz w:val="28"/>
          <w:szCs w:val="28"/>
          <w:lang w:eastAsia="ru-RU"/>
        </w:rPr>
        <w:t>.</w:t>
      </w:r>
    </w:p>
    <w:p w:rsidR="00EA0B50" w:rsidRPr="00817F7C" w:rsidRDefault="00EA0B50" w:rsidP="00911873">
      <w:pPr>
        <w:spacing w:after="0" w:line="240" w:lineRule="auto"/>
        <w:ind w:firstLine="708"/>
        <w:jc w:val="both"/>
        <w:rPr>
          <w:rFonts w:ascii="Times New Roman" w:hAnsi="Times New Roman"/>
          <w:sz w:val="28"/>
          <w:szCs w:val="28"/>
          <w:lang w:eastAsia="ru-RU"/>
        </w:rPr>
      </w:pPr>
    </w:p>
    <w:p w:rsidR="00600150" w:rsidRPr="00817F7C" w:rsidRDefault="00600150" w:rsidP="00911873">
      <w:pPr>
        <w:spacing w:after="0" w:line="240" w:lineRule="auto"/>
        <w:ind w:firstLine="708"/>
        <w:jc w:val="both"/>
        <w:rPr>
          <w:rFonts w:ascii="Times New Roman" w:hAnsi="Times New Roman"/>
          <w:sz w:val="28"/>
          <w:szCs w:val="28"/>
          <w:lang w:eastAsia="ru-RU"/>
        </w:rPr>
      </w:pPr>
      <w:r w:rsidRPr="00817F7C">
        <w:rPr>
          <w:rFonts w:ascii="Times New Roman" w:hAnsi="Times New Roman"/>
          <w:noProof/>
          <w:sz w:val="28"/>
          <w:szCs w:val="28"/>
          <w:lang w:eastAsia="ru-RU"/>
        </w:rPr>
        <w:drawing>
          <wp:inline distT="0" distB="0" distL="0" distR="0">
            <wp:extent cx="5572125" cy="2447925"/>
            <wp:effectExtent l="1905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92267" w:rsidRPr="008F7FA3" w:rsidRDefault="00E92267" w:rsidP="008F7FA3">
      <w:pPr>
        <w:spacing w:after="0" w:line="240" w:lineRule="auto"/>
        <w:ind w:firstLine="708"/>
        <w:jc w:val="both"/>
        <w:rPr>
          <w:rFonts w:ascii="Times New Roman" w:hAnsi="Times New Roman"/>
          <w:bCs/>
          <w:color w:val="000000"/>
          <w:sz w:val="28"/>
          <w:szCs w:val="28"/>
          <w:lang w:eastAsia="ru-RU"/>
        </w:rPr>
      </w:pPr>
      <w:r w:rsidRPr="008F7FA3">
        <w:rPr>
          <w:rFonts w:ascii="Times New Roman" w:hAnsi="Times New Roman"/>
          <w:bCs/>
          <w:color w:val="000000"/>
          <w:sz w:val="28"/>
          <w:szCs w:val="28"/>
          <w:lang w:eastAsia="ru-RU"/>
        </w:rPr>
        <w:t>В муниципальном образовании отсутствуют муниципальные предприятия, находящиеся в процессе банкротства.</w:t>
      </w:r>
    </w:p>
    <w:p w:rsidR="00B7082C" w:rsidRPr="008F7FA3" w:rsidRDefault="00B7082C" w:rsidP="008F7FA3">
      <w:pPr>
        <w:spacing w:after="0" w:line="240" w:lineRule="auto"/>
        <w:ind w:firstLine="708"/>
        <w:jc w:val="both"/>
        <w:rPr>
          <w:rFonts w:ascii="Times New Roman" w:hAnsi="Times New Roman"/>
          <w:sz w:val="28"/>
          <w:szCs w:val="28"/>
        </w:rPr>
      </w:pPr>
      <w:r w:rsidRPr="008F7FA3">
        <w:rPr>
          <w:rFonts w:ascii="Times New Roman" w:hAnsi="Times New Roman"/>
          <w:sz w:val="28"/>
          <w:szCs w:val="28"/>
        </w:rPr>
        <w:t>Объем незавершенного строительства  в районе в отчетном году равен нулю, что свидетельствует об эффективном использовании ассигнований, соблюдении законодательства.</w:t>
      </w:r>
    </w:p>
    <w:p w:rsidR="001517DB" w:rsidRPr="008F7FA3" w:rsidRDefault="001517DB" w:rsidP="008F7FA3">
      <w:pPr>
        <w:spacing w:after="0" w:line="240" w:lineRule="auto"/>
        <w:ind w:firstLine="709"/>
        <w:jc w:val="both"/>
        <w:rPr>
          <w:rFonts w:ascii="Times New Roman" w:eastAsia="Times New Roman" w:hAnsi="Times New Roman"/>
          <w:bCs/>
          <w:sz w:val="28"/>
          <w:szCs w:val="28"/>
          <w:lang w:eastAsia="ru-RU"/>
        </w:rPr>
      </w:pPr>
      <w:r w:rsidRPr="008F7FA3">
        <w:rPr>
          <w:rFonts w:ascii="Times New Roman" w:eastAsia="Times New Roman" w:hAnsi="Times New Roman"/>
          <w:sz w:val="28"/>
          <w:szCs w:val="28"/>
          <w:lang w:eastAsia="ru-RU"/>
        </w:rPr>
        <w:t xml:space="preserve">Просроченная задолженность по заработной плате в </w:t>
      </w:r>
      <w:r w:rsidRPr="008F7FA3">
        <w:rPr>
          <w:rFonts w:ascii="Times New Roman" w:eastAsia="Times New Roman" w:hAnsi="Times New Roman"/>
          <w:bCs/>
          <w:sz w:val="28"/>
          <w:szCs w:val="28"/>
          <w:lang w:eastAsia="ru-RU"/>
        </w:rPr>
        <w:t>муниципальных учреждениях муниципального образования в 201</w:t>
      </w:r>
      <w:r w:rsidR="005A26E9" w:rsidRPr="008F7FA3">
        <w:rPr>
          <w:rFonts w:ascii="Times New Roman" w:eastAsia="Times New Roman" w:hAnsi="Times New Roman"/>
          <w:bCs/>
          <w:sz w:val="28"/>
          <w:szCs w:val="28"/>
          <w:lang w:eastAsia="ru-RU"/>
        </w:rPr>
        <w:t>6</w:t>
      </w:r>
      <w:r w:rsidRPr="008F7FA3">
        <w:rPr>
          <w:rFonts w:ascii="Times New Roman" w:eastAsia="Times New Roman" w:hAnsi="Times New Roman"/>
          <w:bCs/>
          <w:sz w:val="28"/>
          <w:szCs w:val="28"/>
          <w:lang w:eastAsia="ru-RU"/>
        </w:rPr>
        <w:t> году отсутствовала.</w:t>
      </w:r>
    </w:p>
    <w:p w:rsidR="00176CCC" w:rsidRPr="008F7FA3" w:rsidRDefault="005E5FE2" w:rsidP="008F7FA3">
      <w:pPr>
        <w:spacing w:after="0" w:line="240" w:lineRule="auto"/>
        <w:jc w:val="both"/>
        <w:rPr>
          <w:rFonts w:ascii="Times New Roman" w:eastAsia="Times New Roman" w:hAnsi="Times New Roman"/>
          <w:sz w:val="28"/>
          <w:szCs w:val="28"/>
          <w:lang w:eastAsia="ru-RU"/>
        </w:rPr>
      </w:pPr>
      <w:r w:rsidRPr="008F7FA3">
        <w:rPr>
          <w:rFonts w:ascii="Times New Roman" w:hAnsi="Times New Roman"/>
          <w:sz w:val="28"/>
          <w:szCs w:val="28"/>
          <w:lang w:eastAsia="ru-RU"/>
        </w:rPr>
        <w:t>Расходы бюджета муниципального образования на содержание работников органов местного самоуправления в расчете на 1 жителя в 201</w:t>
      </w:r>
      <w:r w:rsidR="00A4749A" w:rsidRPr="008F7FA3">
        <w:rPr>
          <w:rFonts w:ascii="Times New Roman" w:hAnsi="Times New Roman"/>
          <w:sz w:val="28"/>
          <w:szCs w:val="28"/>
          <w:lang w:eastAsia="ru-RU"/>
        </w:rPr>
        <w:t>7</w:t>
      </w:r>
      <w:r w:rsidRPr="008F7FA3">
        <w:rPr>
          <w:rFonts w:ascii="Times New Roman" w:hAnsi="Times New Roman"/>
          <w:sz w:val="28"/>
          <w:szCs w:val="28"/>
          <w:lang w:eastAsia="ru-RU"/>
        </w:rPr>
        <w:t xml:space="preserve"> году составили </w:t>
      </w:r>
      <w:r w:rsidR="00A4749A" w:rsidRPr="008F7FA3">
        <w:rPr>
          <w:rFonts w:ascii="Times New Roman" w:eastAsia="Times New Roman" w:hAnsi="Times New Roman"/>
          <w:sz w:val="28"/>
          <w:szCs w:val="28"/>
          <w:lang w:eastAsia="ru-RU"/>
        </w:rPr>
        <w:t>968,17</w:t>
      </w:r>
      <w:r w:rsidRPr="008F7FA3">
        <w:rPr>
          <w:rFonts w:ascii="Times New Roman" w:hAnsi="Times New Roman"/>
          <w:sz w:val="28"/>
          <w:szCs w:val="28"/>
          <w:lang w:eastAsia="ru-RU"/>
        </w:rPr>
        <w:t xml:space="preserve"> рублей, что на </w:t>
      </w:r>
      <w:r w:rsidR="00A4749A" w:rsidRPr="008F7FA3">
        <w:rPr>
          <w:rFonts w:ascii="Times New Roman" w:hAnsi="Times New Roman"/>
          <w:sz w:val="28"/>
          <w:szCs w:val="28"/>
          <w:lang w:eastAsia="ru-RU"/>
        </w:rPr>
        <w:t>8,51</w:t>
      </w:r>
      <w:r w:rsidRPr="008F7FA3">
        <w:rPr>
          <w:rFonts w:ascii="Times New Roman" w:hAnsi="Times New Roman"/>
          <w:sz w:val="28"/>
          <w:szCs w:val="28"/>
          <w:lang w:eastAsia="ru-RU"/>
        </w:rPr>
        <w:t xml:space="preserve"> рублей ниже уровня 201</w:t>
      </w:r>
      <w:r w:rsidR="00A4749A" w:rsidRPr="008F7FA3">
        <w:rPr>
          <w:rFonts w:ascii="Times New Roman" w:hAnsi="Times New Roman"/>
          <w:sz w:val="28"/>
          <w:szCs w:val="28"/>
          <w:lang w:eastAsia="ru-RU"/>
        </w:rPr>
        <w:t>6</w:t>
      </w:r>
      <w:r w:rsidRPr="008F7FA3">
        <w:rPr>
          <w:rFonts w:ascii="Times New Roman" w:hAnsi="Times New Roman"/>
          <w:sz w:val="28"/>
          <w:szCs w:val="28"/>
          <w:lang w:eastAsia="ru-RU"/>
        </w:rPr>
        <w:t xml:space="preserve"> года</w:t>
      </w:r>
      <w:r w:rsidR="006A4F8B" w:rsidRPr="008F7FA3">
        <w:rPr>
          <w:rFonts w:ascii="Times New Roman" w:hAnsi="Times New Roman"/>
          <w:sz w:val="28"/>
          <w:szCs w:val="28"/>
          <w:lang w:eastAsia="ru-RU"/>
        </w:rPr>
        <w:t>.</w:t>
      </w:r>
      <w:r w:rsidRPr="008F7FA3">
        <w:rPr>
          <w:rFonts w:ascii="Times New Roman" w:hAnsi="Times New Roman"/>
          <w:sz w:val="28"/>
          <w:szCs w:val="28"/>
          <w:lang w:eastAsia="ru-RU"/>
        </w:rPr>
        <w:t xml:space="preserve">  К 20</w:t>
      </w:r>
      <w:r w:rsidR="00A4749A" w:rsidRPr="008F7FA3">
        <w:rPr>
          <w:rFonts w:ascii="Times New Roman" w:hAnsi="Times New Roman"/>
          <w:sz w:val="28"/>
          <w:szCs w:val="28"/>
          <w:lang w:eastAsia="ru-RU"/>
        </w:rPr>
        <w:t>20</w:t>
      </w:r>
      <w:r w:rsidRPr="008F7FA3">
        <w:rPr>
          <w:rFonts w:ascii="Times New Roman" w:hAnsi="Times New Roman"/>
          <w:sz w:val="28"/>
          <w:szCs w:val="28"/>
          <w:lang w:eastAsia="ru-RU"/>
        </w:rPr>
        <w:t xml:space="preserve"> году планируется снижение данного показателя до </w:t>
      </w:r>
      <w:r w:rsidR="00A4749A" w:rsidRPr="008F7FA3">
        <w:rPr>
          <w:rFonts w:ascii="Times New Roman" w:eastAsia="Times New Roman" w:hAnsi="Times New Roman"/>
          <w:sz w:val="28"/>
          <w:szCs w:val="28"/>
          <w:lang w:eastAsia="ru-RU"/>
        </w:rPr>
        <w:t>966,66</w:t>
      </w:r>
      <w:r w:rsidRPr="008F7FA3">
        <w:rPr>
          <w:rFonts w:ascii="Times New Roman" w:hAnsi="Times New Roman"/>
          <w:sz w:val="28"/>
          <w:szCs w:val="28"/>
          <w:lang w:eastAsia="ru-RU"/>
        </w:rPr>
        <w:t xml:space="preserve"> рубл</w:t>
      </w:r>
      <w:r w:rsidR="006A4F8B" w:rsidRPr="008F7FA3">
        <w:rPr>
          <w:rFonts w:ascii="Times New Roman" w:hAnsi="Times New Roman"/>
          <w:sz w:val="28"/>
          <w:szCs w:val="28"/>
          <w:lang w:eastAsia="ru-RU"/>
        </w:rPr>
        <w:t>ей</w:t>
      </w:r>
      <w:r w:rsidRPr="008F7FA3">
        <w:rPr>
          <w:rFonts w:ascii="Times New Roman" w:hAnsi="Times New Roman"/>
          <w:sz w:val="28"/>
          <w:szCs w:val="28"/>
          <w:lang w:eastAsia="ru-RU"/>
        </w:rPr>
        <w:t>.</w:t>
      </w:r>
      <w:r w:rsidR="00176CCC" w:rsidRPr="008F7FA3">
        <w:rPr>
          <w:rFonts w:ascii="Times New Roman" w:hAnsi="Times New Roman"/>
          <w:sz w:val="28"/>
          <w:szCs w:val="28"/>
          <w:lang w:eastAsia="ru-RU"/>
        </w:rPr>
        <w:t xml:space="preserve"> </w:t>
      </w:r>
    </w:p>
    <w:p w:rsidR="00176CCC" w:rsidRPr="008F7FA3" w:rsidRDefault="00176CCC" w:rsidP="008F7FA3">
      <w:pPr>
        <w:tabs>
          <w:tab w:val="left" w:pos="0"/>
        </w:tabs>
        <w:spacing w:after="0" w:line="240" w:lineRule="auto"/>
        <w:ind w:firstLine="720"/>
        <w:jc w:val="both"/>
        <w:rPr>
          <w:rFonts w:ascii="Times New Roman" w:hAnsi="Times New Roman"/>
          <w:bCs/>
          <w:sz w:val="28"/>
          <w:szCs w:val="28"/>
          <w:lang w:eastAsia="ru-RU"/>
        </w:rPr>
      </w:pPr>
      <w:r w:rsidRPr="008F7FA3">
        <w:rPr>
          <w:rFonts w:ascii="Times New Roman" w:hAnsi="Times New Roman"/>
          <w:sz w:val="28"/>
          <w:szCs w:val="28"/>
          <w:lang w:eastAsia="ru-RU"/>
        </w:rPr>
        <w:t xml:space="preserve">В Кимовском районе </w:t>
      </w:r>
      <w:r w:rsidRPr="008F7FA3">
        <w:rPr>
          <w:rFonts w:ascii="Times New Roman" w:hAnsi="Times New Roman"/>
          <w:bCs/>
          <w:sz w:val="28"/>
          <w:szCs w:val="28"/>
          <w:lang w:eastAsia="ru-RU"/>
        </w:rPr>
        <w:t>разработана градостроительная документация по планировке территории.</w:t>
      </w:r>
    </w:p>
    <w:p w:rsidR="00176CCC" w:rsidRPr="00B314AD" w:rsidRDefault="00176CCC" w:rsidP="00911873">
      <w:pPr>
        <w:tabs>
          <w:tab w:val="left" w:pos="0"/>
        </w:tabs>
        <w:spacing w:after="0" w:line="240" w:lineRule="auto"/>
        <w:ind w:firstLine="720"/>
        <w:jc w:val="both"/>
        <w:rPr>
          <w:rFonts w:ascii="Times New Roman" w:hAnsi="Times New Roman"/>
          <w:sz w:val="28"/>
          <w:szCs w:val="28"/>
          <w:highlight w:val="yellow"/>
          <w:lang w:eastAsia="ru-RU"/>
        </w:rPr>
      </w:pPr>
      <w:r w:rsidRPr="00225ACC">
        <w:rPr>
          <w:rFonts w:ascii="Times New Roman" w:hAnsi="Times New Roman"/>
          <w:noProof/>
          <w:sz w:val="28"/>
          <w:szCs w:val="28"/>
          <w:lang w:eastAsia="ru-RU"/>
        </w:rPr>
        <w:lastRenderedPageBreak/>
        <w:drawing>
          <wp:inline distT="0" distB="0" distL="0" distR="0">
            <wp:extent cx="5486400" cy="3200400"/>
            <wp:effectExtent l="0" t="0" r="0"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55BBC" w:rsidRPr="00225ACC" w:rsidRDefault="00055BBC" w:rsidP="001F2AA0">
      <w:pPr>
        <w:spacing w:after="0" w:line="240" w:lineRule="auto"/>
        <w:ind w:firstLine="708"/>
        <w:jc w:val="both"/>
        <w:rPr>
          <w:rFonts w:ascii="Times New Roman" w:hAnsi="Times New Roman"/>
          <w:sz w:val="28"/>
          <w:szCs w:val="28"/>
          <w:lang w:eastAsia="ru-RU"/>
        </w:rPr>
      </w:pPr>
      <w:r w:rsidRPr="00225ACC">
        <w:rPr>
          <w:rFonts w:ascii="Times New Roman" w:hAnsi="Times New Roman"/>
          <w:sz w:val="28"/>
          <w:szCs w:val="28"/>
          <w:lang w:eastAsia="ru-RU"/>
        </w:rPr>
        <w:t xml:space="preserve">Одним из негативных показателей развития муниципального образования является демографическая ситуация. </w:t>
      </w:r>
    </w:p>
    <w:p w:rsidR="00FD595A" w:rsidRPr="00B314AD" w:rsidRDefault="0064775D" w:rsidP="001F2AA0">
      <w:pPr>
        <w:spacing w:after="0" w:line="240" w:lineRule="auto"/>
        <w:ind w:firstLine="708"/>
        <w:jc w:val="both"/>
        <w:rPr>
          <w:sz w:val="28"/>
          <w:szCs w:val="28"/>
          <w:highlight w:val="yellow"/>
        </w:rPr>
      </w:pPr>
      <w:r w:rsidRPr="00225ACC">
        <w:rPr>
          <w:rFonts w:ascii="Times New Roman" w:hAnsi="Times New Roman"/>
          <w:bCs/>
          <w:sz w:val="28"/>
          <w:szCs w:val="28"/>
          <w:lang w:eastAsia="ru-RU"/>
        </w:rPr>
        <w:t>Анализ значения показателя «Среднегодовая численность постоянного населения»,</w:t>
      </w:r>
      <w:r w:rsidRPr="00225ACC">
        <w:rPr>
          <w:rFonts w:ascii="Times New Roman" w:hAnsi="Times New Roman"/>
          <w:b/>
          <w:bCs/>
          <w:sz w:val="28"/>
          <w:szCs w:val="28"/>
          <w:lang w:eastAsia="ru-RU"/>
        </w:rPr>
        <w:t xml:space="preserve"> </w:t>
      </w:r>
      <w:r w:rsidRPr="00225ACC">
        <w:rPr>
          <w:rFonts w:ascii="Times New Roman" w:hAnsi="Times New Roman"/>
          <w:bCs/>
          <w:sz w:val="28"/>
          <w:szCs w:val="28"/>
          <w:lang w:eastAsia="ru-RU"/>
        </w:rPr>
        <w:t>отражающего динамику прироста (убыли) численности населения в районе, выполненный по статистическим данным государственной статистики о численности населения на начало и конец отчетного года, свидетельствует о сохраняющейся тенденции уменьшения среднегодовой численности постоянного населения</w:t>
      </w:r>
      <w:r w:rsidR="006D4C9B" w:rsidRPr="00225ACC">
        <w:rPr>
          <w:rFonts w:ascii="Times New Roman" w:hAnsi="Times New Roman"/>
          <w:bCs/>
          <w:sz w:val="28"/>
          <w:szCs w:val="28"/>
          <w:lang w:eastAsia="ru-RU"/>
        </w:rPr>
        <w:t xml:space="preserve"> </w:t>
      </w:r>
      <w:r w:rsidR="006D4C9B" w:rsidRPr="00225ACC">
        <w:rPr>
          <w:rFonts w:ascii="Times New Roman" w:hAnsi="Times New Roman"/>
          <w:color w:val="000000"/>
          <w:spacing w:val="2"/>
          <w:sz w:val="28"/>
          <w:szCs w:val="28"/>
          <w:shd w:val="clear" w:color="auto" w:fill="FFFFFF"/>
        </w:rPr>
        <w:t xml:space="preserve">вследствие высокого уровня смертности и низкой рождаемости. </w:t>
      </w:r>
    </w:p>
    <w:p w:rsidR="00CE3A62" w:rsidRDefault="003908E5" w:rsidP="001F2AA0">
      <w:pPr>
        <w:spacing w:after="0" w:line="240" w:lineRule="auto"/>
        <w:ind w:firstLine="708"/>
        <w:jc w:val="both"/>
        <w:rPr>
          <w:rFonts w:ascii="Times New Roman" w:hAnsi="Times New Roman"/>
          <w:sz w:val="28"/>
          <w:szCs w:val="28"/>
          <w:lang w:eastAsia="ru-RU"/>
        </w:rPr>
      </w:pPr>
      <w:r w:rsidRPr="00CE3A62">
        <w:rPr>
          <w:rFonts w:ascii="Times New Roman" w:hAnsi="Times New Roman"/>
          <w:sz w:val="28"/>
          <w:szCs w:val="28"/>
          <w:lang w:eastAsia="ru-RU"/>
        </w:rPr>
        <w:t xml:space="preserve">По состоянию на 1 января </w:t>
      </w:r>
      <w:r w:rsidR="007510AE" w:rsidRPr="00CE3A62">
        <w:rPr>
          <w:rFonts w:ascii="Times New Roman" w:hAnsi="Times New Roman"/>
          <w:sz w:val="28"/>
          <w:szCs w:val="28"/>
          <w:lang w:eastAsia="ru-RU"/>
        </w:rPr>
        <w:t>201</w:t>
      </w:r>
      <w:r w:rsidR="00CE3A62" w:rsidRPr="00CE3A62">
        <w:rPr>
          <w:rFonts w:ascii="Times New Roman" w:hAnsi="Times New Roman"/>
          <w:sz w:val="28"/>
          <w:szCs w:val="28"/>
          <w:lang w:eastAsia="ru-RU"/>
        </w:rPr>
        <w:t>8</w:t>
      </w:r>
      <w:r w:rsidR="007510AE" w:rsidRPr="00CE3A62">
        <w:rPr>
          <w:rFonts w:ascii="Times New Roman" w:hAnsi="Times New Roman"/>
          <w:sz w:val="28"/>
          <w:szCs w:val="28"/>
          <w:lang w:eastAsia="ru-RU"/>
        </w:rPr>
        <w:t xml:space="preserve"> год среднегодовая численность населения муниципального района сократилась на </w:t>
      </w:r>
      <w:r w:rsidR="001B1F17" w:rsidRPr="00CE3A62">
        <w:rPr>
          <w:rFonts w:ascii="Times New Roman" w:hAnsi="Times New Roman"/>
          <w:sz w:val="28"/>
          <w:szCs w:val="28"/>
          <w:lang w:eastAsia="ru-RU"/>
        </w:rPr>
        <w:t>5</w:t>
      </w:r>
      <w:r w:rsidR="00CE3A62" w:rsidRPr="00CE3A62">
        <w:rPr>
          <w:rFonts w:ascii="Times New Roman" w:hAnsi="Times New Roman"/>
          <w:sz w:val="28"/>
          <w:szCs w:val="28"/>
          <w:lang w:eastAsia="ru-RU"/>
        </w:rPr>
        <w:t>0</w:t>
      </w:r>
      <w:r w:rsidR="001B1F17" w:rsidRPr="00CE3A62">
        <w:rPr>
          <w:rFonts w:ascii="Times New Roman" w:hAnsi="Times New Roman"/>
          <w:sz w:val="28"/>
          <w:szCs w:val="28"/>
          <w:lang w:eastAsia="ru-RU"/>
        </w:rPr>
        <w:t>0</w:t>
      </w:r>
      <w:r w:rsidR="007510AE" w:rsidRPr="00CE3A62">
        <w:rPr>
          <w:rFonts w:ascii="Times New Roman" w:hAnsi="Times New Roman"/>
          <w:sz w:val="28"/>
          <w:szCs w:val="28"/>
          <w:lang w:eastAsia="ru-RU"/>
        </w:rPr>
        <w:t xml:space="preserve"> человек и составила </w:t>
      </w:r>
      <w:r w:rsidR="00CE3A62" w:rsidRPr="00CE3A62">
        <w:rPr>
          <w:rFonts w:ascii="Times New Roman" w:hAnsi="Times New Roman"/>
          <w:sz w:val="28"/>
          <w:szCs w:val="28"/>
          <w:lang w:eastAsia="ru-RU"/>
        </w:rPr>
        <w:t>38,0</w:t>
      </w:r>
      <w:r w:rsidR="001B1F17" w:rsidRPr="00CE3A62">
        <w:rPr>
          <w:rFonts w:ascii="Times New Roman" w:hAnsi="Times New Roman"/>
          <w:sz w:val="28"/>
          <w:szCs w:val="28"/>
          <w:lang w:eastAsia="ru-RU"/>
        </w:rPr>
        <w:t>5</w:t>
      </w:r>
      <w:r w:rsidR="007510AE" w:rsidRPr="00CE3A62">
        <w:rPr>
          <w:rFonts w:ascii="Times New Roman" w:hAnsi="Times New Roman"/>
          <w:sz w:val="28"/>
          <w:szCs w:val="28"/>
          <w:lang w:eastAsia="ru-RU"/>
        </w:rPr>
        <w:t xml:space="preserve"> тыс</w:t>
      </w:r>
      <w:proofErr w:type="gramStart"/>
      <w:r w:rsidR="007510AE" w:rsidRPr="00CE3A62">
        <w:rPr>
          <w:rFonts w:ascii="Times New Roman" w:hAnsi="Times New Roman"/>
          <w:sz w:val="28"/>
          <w:szCs w:val="28"/>
          <w:lang w:eastAsia="ru-RU"/>
        </w:rPr>
        <w:t>.ч</w:t>
      </w:r>
      <w:proofErr w:type="gramEnd"/>
      <w:r w:rsidR="007510AE" w:rsidRPr="00CE3A62">
        <w:rPr>
          <w:rFonts w:ascii="Times New Roman" w:hAnsi="Times New Roman"/>
          <w:sz w:val="28"/>
          <w:szCs w:val="28"/>
          <w:lang w:eastAsia="ru-RU"/>
        </w:rPr>
        <w:t>еловек.  Аналогичная ситуация будет сохраняться и до 20</w:t>
      </w:r>
      <w:r w:rsidR="00CE3A62" w:rsidRPr="00CE3A62">
        <w:rPr>
          <w:rFonts w:ascii="Times New Roman" w:hAnsi="Times New Roman"/>
          <w:sz w:val="28"/>
          <w:szCs w:val="28"/>
          <w:lang w:eastAsia="ru-RU"/>
        </w:rPr>
        <w:t>20</w:t>
      </w:r>
      <w:r w:rsidR="007510AE" w:rsidRPr="00CE3A62">
        <w:rPr>
          <w:rFonts w:ascii="Times New Roman" w:hAnsi="Times New Roman"/>
          <w:sz w:val="28"/>
          <w:szCs w:val="28"/>
          <w:lang w:eastAsia="ru-RU"/>
        </w:rPr>
        <w:t xml:space="preserve"> года.</w:t>
      </w:r>
    </w:p>
    <w:p w:rsidR="00082E0F" w:rsidRPr="00CE3A62" w:rsidRDefault="00082E0F" w:rsidP="001F2AA0">
      <w:pPr>
        <w:spacing w:after="0" w:line="240" w:lineRule="auto"/>
        <w:ind w:firstLine="708"/>
        <w:jc w:val="both"/>
        <w:rPr>
          <w:rFonts w:ascii="Times New Roman" w:hAnsi="Times New Roman"/>
          <w:sz w:val="28"/>
          <w:szCs w:val="28"/>
          <w:lang w:eastAsia="ru-RU"/>
        </w:rPr>
      </w:pPr>
    </w:p>
    <w:p w:rsidR="007D55FD" w:rsidRPr="00B314AD" w:rsidRDefault="00176CCC" w:rsidP="00082E0F">
      <w:pPr>
        <w:tabs>
          <w:tab w:val="left" w:pos="2670"/>
        </w:tabs>
        <w:spacing w:after="0" w:line="240" w:lineRule="auto"/>
        <w:jc w:val="center"/>
        <w:rPr>
          <w:rFonts w:ascii="Times New Roman" w:eastAsia="Times New Roman" w:hAnsi="Times New Roman"/>
          <w:sz w:val="28"/>
          <w:szCs w:val="28"/>
          <w:highlight w:val="yellow"/>
          <w:lang w:eastAsia="ru-RU"/>
        </w:rPr>
      </w:pPr>
      <w:r w:rsidRPr="00D3677F">
        <w:rPr>
          <w:rFonts w:ascii="Times New Roman" w:eastAsia="Times New Roman" w:hAnsi="Times New Roman"/>
          <w:noProof/>
          <w:sz w:val="28"/>
          <w:szCs w:val="28"/>
          <w:lang w:eastAsia="ru-RU"/>
        </w:rPr>
        <w:drawing>
          <wp:inline distT="0" distB="0" distL="0" distR="0">
            <wp:extent cx="5486400" cy="3200400"/>
            <wp:effectExtent l="19050" t="0" r="0"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D55FD" w:rsidRPr="00E756EA" w:rsidRDefault="007D55FD" w:rsidP="00911873">
      <w:pPr>
        <w:spacing w:after="0" w:line="240" w:lineRule="auto"/>
        <w:ind w:firstLine="709"/>
        <w:jc w:val="both"/>
        <w:rPr>
          <w:rFonts w:ascii="Times New Roman" w:eastAsia="Times New Roman" w:hAnsi="Times New Roman"/>
          <w:sz w:val="28"/>
          <w:szCs w:val="28"/>
          <w:lang w:eastAsia="ru-RU"/>
        </w:rPr>
      </w:pPr>
      <w:proofErr w:type="gramStart"/>
      <w:r w:rsidRPr="00E756EA">
        <w:rPr>
          <w:rFonts w:ascii="Times New Roman" w:eastAsia="Times New Roman" w:hAnsi="Times New Roman"/>
          <w:sz w:val="28"/>
          <w:szCs w:val="28"/>
          <w:lang w:eastAsia="ru-RU"/>
        </w:rPr>
        <w:lastRenderedPageBreak/>
        <w:t>В целях регулирования демо</w:t>
      </w:r>
      <w:r w:rsidR="00571B66" w:rsidRPr="00E756EA">
        <w:rPr>
          <w:rFonts w:ascii="Times New Roman" w:eastAsia="Times New Roman" w:hAnsi="Times New Roman"/>
          <w:sz w:val="28"/>
          <w:szCs w:val="28"/>
          <w:lang w:eastAsia="ru-RU"/>
        </w:rPr>
        <w:t>графических процессов утвержден план</w:t>
      </w:r>
      <w:r w:rsidRPr="00E756EA">
        <w:rPr>
          <w:rFonts w:ascii="Times New Roman" w:eastAsia="Times New Roman" w:hAnsi="Times New Roman"/>
          <w:sz w:val="28"/>
          <w:szCs w:val="28"/>
          <w:lang w:eastAsia="ru-RU"/>
        </w:rPr>
        <w:t xml:space="preserve"> мероприятий по реализации Концепции демографической политики Российской Федерации на период до 2025 года</w:t>
      </w:r>
      <w:r w:rsidR="00024D16" w:rsidRPr="00E756EA">
        <w:rPr>
          <w:rFonts w:ascii="Times New Roman" w:eastAsia="Times New Roman" w:hAnsi="Times New Roman"/>
          <w:sz w:val="28"/>
          <w:szCs w:val="28"/>
          <w:lang w:eastAsia="ru-RU"/>
        </w:rPr>
        <w:t>,</w:t>
      </w:r>
      <w:r w:rsidRPr="00E756EA">
        <w:rPr>
          <w:rFonts w:ascii="Times New Roman" w:eastAsia="Times New Roman" w:hAnsi="Times New Roman"/>
          <w:sz w:val="28"/>
          <w:szCs w:val="28"/>
          <w:lang w:eastAsia="ru-RU"/>
        </w:rPr>
        <w:t xml:space="preserve"> сформирована система мер поддержки семей с детьми, финансируемых из средств местных бюджетов, в том числе, установлены выплаты при рождении вторых и последующих детей</w:t>
      </w:r>
      <w:r w:rsidR="00055BBC" w:rsidRPr="00E756EA">
        <w:rPr>
          <w:rFonts w:ascii="Times New Roman" w:eastAsia="Times New Roman" w:hAnsi="Times New Roman"/>
          <w:sz w:val="28"/>
          <w:szCs w:val="28"/>
          <w:lang w:eastAsia="ru-RU"/>
        </w:rPr>
        <w:t>,</w:t>
      </w:r>
      <w:r w:rsidRPr="00E756EA">
        <w:rPr>
          <w:rFonts w:ascii="Times New Roman" w:eastAsia="Times New Roman" w:hAnsi="Times New Roman"/>
          <w:sz w:val="28"/>
          <w:szCs w:val="28"/>
          <w:lang w:eastAsia="ru-RU"/>
        </w:rPr>
        <w:t xml:space="preserve"> разработаны и реализуются</w:t>
      </w:r>
      <w:r w:rsidRPr="00E756EA">
        <w:rPr>
          <w:rFonts w:ascii="Times New Roman" w:eastAsia="Times New Roman" w:hAnsi="Times New Roman"/>
          <w:b/>
          <w:sz w:val="28"/>
          <w:szCs w:val="28"/>
          <w:lang w:eastAsia="ru-RU"/>
        </w:rPr>
        <w:t xml:space="preserve"> </w:t>
      </w:r>
      <w:r w:rsidRPr="00E756EA">
        <w:rPr>
          <w:rFonts w:ascii="Times New Roman" w:eastAsia="Times New Roman" w:hAnsi="Times New Roman"/>
          <w:sz w:val="28"/>
          <w:szCs w:val="28"/>
          <w:lang w:eastAsia="ru-RU"/>
        </w:rPr>
        <w:t>муниципальные программы по улучшению демографической ситуации.</w:t>
      </w:r>
      <w:proofErr w:type="gramEnd"/>
    </w:p>
    <w:p w:rsidR="007E56AE" w:rsidRPr="00282399" w:rsidRDefault="007E56AE" w:rsidP="00911873">
      <w:pPr>
        <w:spacing w:after="0" w:line="240" w:lineRule="auto"/>
        <w:ind w:firstLine="709"/>
        <w:jc w:val="both"/>
        <w:rPr>
          <w:rFonts w:ascii="Times New Roman" w:hAnsi="Times New Roman"/>
          <w:sz w:val="28"/>
          <w:szCs w:val="28"/>
        </w:rPr>
      </w:pPr>
      <w:r w:rsidRPr="00282399">
        <w:rPr>
          <w:rFonts w:ascii="Times New Roman" w:hAnsi="Times New Roman"/>
          <w:sz w:val="28"/>
          <w:szCs w:val="28"/>
        </w:rPr>
        <w:t xml:space="preserve">В целях оказания социальной помощи семьям с детьми </w:t>
      </w:r>
      <w:r w:rsidR="00DB1C7E" w:rsidRPr="00282399">
        <w:rPr>
          <w:rFonts w:ascii="Times New Roman" w:hAnsi="Times New Roman"/>
          <w:sz w:val="28"/>
          <w:szCs w:val="28"/>
        </w:rPr>
        <w:t>р</w:t>
      </w:r>
      <w:r w:rsidRPr="00282399">
        <w:rPr>
          <w:rFonts w:ascii="Times New Roman" w:hAnsi="Times New Roman"/>
          <w:sz w:val="28"/>
          <w:szCs w:val="28"/>
        </w:rPr>
        <w:t>ешение</w:t>
      </w:r>
      <w:r w:rsidR="00DB1C7E" w:rsidRPr="00282399">
        <w:rPr>
          <w:rFonts w:ascii="Times New Roman" w:hAnsi="Times New Roman"/>
          <w:sz w:val="28"/>
          <w:szCs w:val="28"/>
        </w:rPr>
        <w:t>м</w:t>
      </w:r>
      <w:r w:rsidRPr="00282399">
        <w:rPr>
          <w:rFonts w:ascii="Times New Roman" w:hAnsi="Times New Roman"/>
          <w:sz w:val="28"/>
          <w:szCs w:val="28"/>
        </w:rPr>
        <w:t xml:space="preserve"> Собрания представителей МО Кимовский район от 25.10.</w:t>
      </w:r>
      <w:r w:rsidR="00055BBC" w:rsidRPr="00282399">
        <w:rPr>
          <w:rFonts w:ascii="Times New Roman" w:hAnsi="Times New Roman"/>
          <w:sz w:val="28"/>
          <w:szCs w:val="28"/>
        </w:rPr>
        <w:t>20</w:t>
      </w:r>
      <w:r w:rsidRPr="00282399">
        <w:rPr>
          <w:rFonts w:ascii="Times New Roman" w:hAnsi="Times New Roman"/>
          <w:sz w:val="28"/>
          <w:szCs w:val="28"/>
        </w:rPr>
        <w:t>12 № 74-433 «О районном материнском (семейном) капитале»</w:t>
      </w:r>
      <w:r w:rsidR="00DB1C7E" w:rsidRPr="00282399">
        <w:rPr>
          <w:rFonts w:ascii="Times New Roman" w:hAnsi="Times New Roman"/>
          <w:sz w:val="28"/>
          <w:szCs w:val="28"/>
        </w:rPr>
        <w:t xml:space="preserve"> и</w:t>
      </w:r>
      <w:r w:rsidRPr="00282399">
        <w:rPr>
          <w:rFonts w:ascii="Times New Roman" w:hAnsi="Times New Roman"/>
          <w:sz w:val="28"/>
          <w:szCs w:val="28"/>
        </w:rPr>
        <w:t xml:space="preserve"> </w:t>
      </w:r>
      <w:r w:rsidR="00DB1C7E" w:rsidRPr="00282399">
        <w:rPr>
          <w:rFonts w:ascii="Times New Roman" w:hAnsi="Times New Roman"/>
          <w:sz w:val="28"/>
          <w:szCs w:val="28"/>
        </w:rPr>
        <w:t>п</w:t>
      </w:r>
      <w:r w:rsidRPr="00282399">
        <w:rPr>
          <w:rFonts w:ascii="Times New Roman" w:hAnsi="Times New Roman"/>
          <w:sz w:val="28"/>
          <w:szCs w:val="28"/>
        </w:rPr>
        <w:t>остановление</w:t>
      </w:r>
      <w:r w:rsidR="00DB1C7E" w:rsidRPr="00282399">
        <w:rPr>
          <w:rFonts w:ascii="Times New Roman" w:hAnsi="Times New Roman"/>
          <w:sz w:val="28"/>
          <w:szCs w:val="28"/>
        </w:rPr>
        <w:t>м</w:t>
      </w:r>
      <w:r w:rsidRPr="00282399">
        <w:rPr>
          <w:rFonts w:ascii="Times New Roman" w:hAnsi="Times New Roman"/>
          <w:sz w:val="28"/>
          <w:szCs w:val="28"/>
        </w:rPr>
        <w:t xml:space="preserve"> администрации муниципального образования Кимовский район от 14.02.</w:t>
      </w:r>
      <w:r w:rsidR="00DB1C7E" w:rsidRPr="00282399">
        <w:rPr>
          <w:rFonts w:ascii="Times New Roman" w:hAnsi="Times New Roman"/>
          <w:sz w:val="28"/>
          <w:szCs w:val="28"/>
        </w:rPr>
        <w:t>20</w:t>
      </w:r>
      <w:r w:rsidRPr="00282399">
        <w:rPr>
          <w:rFonts w:ascii="Times New Roman" w:hAnsi="Times New Roman"/>
          <w:sz w:val="28"/>
          <w:szCs w:val="28"/>
        </w:rPr>
        <w:t>13 № 312 «О районном материнском (семейном) капитале на второго и последующих детей»</w:t>
      </w:r>
      <w:r w:rsidR="00DB1C7E" w:rsidRPr="00282399">
        <w:rPr>
          <w:rFonts w:ascii="Times New Roman" w:hAnsi="Times New Roman"/>
          <w:sz w:val="28"/>
          <w:szCs w:val="28"/>
        </w:rPr>
        <w:t xml:space="preserve"> установлено право на получение помощи из местного бюджета.</w:t>
      </w:r>
      <w:r w:rsidRPr="00282399">
        <w:rPr>
          <w:rFonts w:ascii="Times New Roman" w:hAnsi="Times New Roman"/>
          <w:sz w:val="28"/>
          <w:szCs w:val="28"/>
        </w:rPr>
        <w:t xml:space="preserve"> </w:t>
      </w:r>
      <w:r w:rsidR="00643961" w:rsidRPr="00282399">
        <w:rPr>
          <w:rFonts w:ascii="Times New Roman" w:hAnsi="Times New Roman"/>
          <w:sz w:val="28"/>
          <w:szCs w:val="28"/>
        </w:rPr>
        <w:t>За 201</w:t>
      </w:r>
      <w:r w:rsidR="00FD1E44" w:rsidRPr="00282399">
        <w:rPr>
          <w:rFonts w:ascii="Times New Roman" w:hAnsi="Times New Roman"/>
          <w:sz w:val="28"/>
          <w:szCs w:val="28"/>
        </w:rPr>
        <w:t>7</w:t>
      </w:r>
      <w:r w:rsidR="000112C9" w:rsidRPr="00282399">
        <w:rPr>
          <w:rFonts w:ascii="Times New Roman" w:hAnsi="Times New Roman"/>
          <w:sz w:val="28"/>
          <w:szCs w:val="28"/>
        </w:rPr>
        <w:t xml:space="preserve"> </w:t>
      </w:r>
      <w:r w:rsidR="00643961" w:rsidRPr="00282399">
        <w:rPr>
          <w:rFonts w:ascii="Times New Roman" w:hAnsi="Times New Roman"/>
          <w:sz w:val="28"/>
          <w:szCs w:val="28"/>
        </w:rPr>
        <w:t>г</w:t>
      </w:r>
      <w:r w:rsidR="000112C9" w:rsidRPr="00282399">
        <w:rPr>
          <w:rFonts w:ascii="Times New Roman" w:hAnsi="Times New Roman"/>
          <w:sz w:val="28"/>
          <w:szCs w:val="28"/>
        </w:rPr>
        <w:t>од</w:t>
      </w:r>
      <w:r w:rsidR="00643961" w:rsidRPr="00282399">
        <w:rPr>
          <w:rFonts w:ascii="Times New Roman" w:hAnsi="Times New Roman"/>
          <w:sz w:val="28"/>
          <w:szCs w:val="28"/>
        </w:rPr>
        <w:t xml:space="preserve"> районный материнский капитал получили 1</w:t>
      </w:r>
      <w:r w:rsidR="009E0B51">
        <w:rPr>
          <w:rFonts w:ascii="Times New Roman" w:hAnsi="Times New Roman"/>
          <w:sz w:val="28"/>
          <w:szCs w:val="28"/>
        </w:rPr>
        <w:t>9</w:t>
      </w:r>
      <w:r w:rsidR="007F1CEC" w:rsidRPr="00282399">
        <w:rPr>
          <w:rFonts w:ascii="Times New Roman" w:hAnsi="Times New Roman"/>
          <w:sz w:val="28"/>
          <w:szCs w:val="28"/>
        </w:rPr>
        <w:t>9</w:t>
      </w:r>
      <w:r w:rsidR="00643961" w:rsidRPr="00282399">
        <w:rPr>
          <w:rFonts w:ascii="Times New Roman" w:hAnsi="Times New Roman"/>
          <w:sz w:val="28"/>
          <w:szCs w:val="28"/>
        </w:rPr>
        <w:t xml:space="preserve"> человек на сумму </w:t>
      </w:r>
      <w:r w:rsidR="005D1285" w:rsidRPr="00282399">
        <w:rPr>
          <w:rFonts w:ascii="Times New Roman" w:hAnsi="Times New Roman"/>
          <w:sz w:val="28"/>
          <w:szCs w:val="28"/>
        </w:rPr>
        <w:t>1</w:t>
      </w:r>
      <w:r w:rsidR="00282399" w:rsidRPr="00282399">
        <w:rPr>
          <w:rFonts w:ascii="Times New Roman" w:hAnsi="Times New Roman"/>
          <w:sz w:val="28"/>
          <w:szCs w:val="28"/>
        </w:rPr>
        <w:t>986,2</w:t>
      </w:r>
      <w:r w:rsidR="005D1285" w:rsidRPr="00282399">
        <w:rPr>
          <w:rFonts w:ascii="Times New Roman" w:hAnsi="Times New Roman"/>
        </w:rPr>
        <w:t xml:space="preserve"> </w:t>
      </w:r>
      <w:r w:rsidR="00643961" w:rsidRPr="00282399">
        <w:rPr>
          <w:rFonts w:ascii="Times New Roman" w:hAnsi="Times New Roman"/>
          <w:sz w:val="28"/>
          <w:szCs w:val="28"/>
        </w:rPr>
        <w:t>тыс.  рублей.</w:t>
      </w:r>
    </w:p>
    <w:p w:rsidR="007E56AE" w:rsidRPr="002D081F" w:rsidRDefault="00643961" w:rsidP="00911873">
      <w:pPr>
        <w:spacing w:after="0" w:line="240" w:lineRule="auto"/>
        <w:ind w:firstLine="709"/>
        <w:jc w:val="both"/>
        <w:rPr>
          <w:rFonts w:ascii="Times New Roman" w:hAnsi="Times New Roman"/>
          <w:sz w:val="28"/>
          <w:szCs w:val="28"/>
        </w:rPr>
      </w:pPr>
      <w:proofErr w:type="gramStart"/>
      <w:r w:rsidRPr="002D081F">
        <w:rPr>
          <w:rFonts w:ascii="Times New Roman" w:hAnsi="Times New Roman"/>
          <w:sz w:val="28"/>
          <w:szCs w:val="28"/>
        </w:rPr>
        <w:t>На конец</w:t>
      </w:r>
      <w:proofErr w:type="gramEnd"/>
      <w:r w:rsidRPr="002D081F">
        <w:rPr>
          <w:rFonts w:ascii="Times New Roman" w:hAnsi="Times New Roman"/>
          <w:sz w:val="28"/>
          <w:szCs w:val="28"/>
        </w:rPr>
        <w:t xml:space="preserve"> 201</w:t>
      </w:r>
      <w:r w:rsidR="002D081F" w:rsidRPr="002D081F">
        <w:rPr>
          <w:rFonts w:ascii="Times New Roman" w:hAnsi="Times New Roman"/>
          <w:sz w:val="28"/>
          <w:szCs w:val="28"/>
        </w:rPr>
        <w:t>7</w:t>
      </w:r>
      <w:r w:rsidRPr="002D081F">
        <w:rPr>
          <w:rFonts w:ascii="Times New Roman" w:hAnsi="Times New Roman"/>
          <w:sz w:val="28"/>
          <w:szCs w:val="28"/>
        </w:rPr>
        <w:t xml:space="preserve"> года а</w:t>
      </w:r>
      <w:r w:rsidR="007E56AE" w:rsidRPr="002D081F">
        <w:rPr>
          <w:rFonts w:ascii="Times New Roman" w:hAnsi="Times New Roman"/>
          <w:sz w:val="28"/>
          <w:szCs w:val="28"/>
        </w:rPr>
        <w:t>дминистрацией было бесплатно предоставлен</w:t>
      </w:r>
      <w:r w:rsidRPr="002D081F">
        <w:rPr>
          <w:rFonts w:ascii="Times New Roman" w:hAnsi="Times New Roman"/>
          <w:sz w:val="28"/>
          <w:szCs w:val="28"/>
        </w:rPr>
        <w:t>о</w:t>
      </w:r>
      <w:r w:rsidR="007E56AE" w:rsidRPr="002D081F">
        <w:rPr>
          <w:rFonts w:ascii="Times New Roman" w:hAnsi="Times New Roman"/>
          <w:sz w:val="28"/>
          <w:szCs w:val="28"/>
        </w:rPr>
        <w:t xml:space="preserve"> в собственность гражданам, имеющим 3-х и более детей</w:t>
      </w:r>
      <w:r w:rsidRPr="002D081F">
        <w:rPr>
          <w:rFonts w:ascii="Times New Roman" w:hAnsi="Times New Roman"/>
          <w:sz w:val="28"/>
          <w:szCs w:val="28"/>
        </w:rPr>
        <w:t xml:space="preserve">, </w:t>
      </w:r>
      <w:r w:rsidR="005D1285" w:rsidRPr="002D081F">
        <w:rPr>
          <w:rFonts w:ascii="Times New Roman" w:hAnsi="Times New Roman"/>
          <w:sz w:val="28"/>
          <w:szCs w:val="28"/>
        </w:rPr>
        <w:t>2</w:t>
      </w:r>
      <w:r w:rsidR="002D081F" w:rsidRPr="002D081F">
        <w:rPr>
          <w:rFonts w:ascii="Times New Roman" w:hAnsi="Times New Roman"/>
          <w:sz w:val="28"/>
          <w:szCs w:val="28"/>
        </w:rPr>
        <w:t>92</w:t>
      </w:r>
      <w:r w:rsidR="007E56AE" w:rsidRPr="002D081F">
        <w:rPr>
          <w:rFonts w:ascii="Times New Roman" w:hAnsi="Times New Roman"/>
          <w:sz w:val="28"/>
          <w:szCs w:val="28"/>
        </w:rPr>
        <w:t xml:space="preserve"> земельных участк</w:t>
      </w:r>
      <w:r w:rsidR="002D081F" w:rsidRPr="002D081F">
        <w:rPr>
          <w:rFonts w:ascii="Times New Roman" w:hAnsi="Times New Roman"/>
          <w:sz w:val="28"/>
          <w:szCs w:val="28"/>
        </w:rPr>
        <w:t>а</w:t>
      </w:r>
      <w:r w:rsidR="007E56AE" w:rsidRPr="002D081F">
        <w:rPr>
          <w:rFonts w:ascii="Times New Roman" w:hAnsi="Times New Roman"/>
          <w:sz w:val="28"/>
          <w:szCs w:val="28"/>
        </w:rPr>
        <w:t>.</w:t>
      </w:r>
    </w:p>
    <w:p w:rsidR="00D722CE" w:rsidRPr="00E756EA" w:rsidRDefault="00D722CE" w:rsidP="00911873">
      <w:pPr>
        <w:spacing w:after="0" w:line="240" w:lineRule="auto"/>
        <w:ind w:firstLine="709"/>
        <w:jc w:val="both"/>
        <w:rPr>
          <w:rFonts w:ascii="Times New Roman" w:eastAsia="Times New Roman" w:hAnsi="Times New Roman"/>
          <w:sz w:val="28"/>
          <w:szCs w:val="28"/>
          <w:lang w:eastAsia="ru-RU"/>
        </w:rPr>
      </w:pPr>
      <w:bookmarkStart w:id="0" w:name="_GoBack"/>
      <w:bookmarkEnd w:id="0"/>
      <w:r w:rsidRPr="00E756EA">
        <w:rPr>
          <w:rFonts w:ascii="Times New Roman" w:eastAsia="Times New Roman" w:hAnsi="Times New Roman"/>
          <w:sz w:val="28"/>
          <w:szCs w:val="28"/>
          <w:lang w:eastAsia="ru-RU"/>
        </w:rPr>
        <w:t xml:space="preserve">Приоритеты в деятельности администрации муниципального образования в сфере демографической политики направлены на улучшение режима рождаемости за счет стимулирования повторных рождений, обеспечение потребности семей с детьми в услугах дошкольного образования, улучшение жилищных условий семей. </w:t>
      </w:r>
    </w:p>
    <w:p w:rsidR="00C750DF" w:rsidRPr="008F7FA3" w:rsidRDefault="007C0E22" w:rsidP="00911873">
      <w:pPr>
        <w:spacing w:after="0" w:line="240" w:lineRule="auto"/>
        <w:ind w:firstLine="708"/>
        <w:jc w:val="both"/>
        <w:rPr>
          <w:rFonts w:ascii="Times New Roman" w:hAnsi="Times New Roman"/>
          <w:sz w:val="28"/>
          <w:szCs w:val="28"/>
          <w:u w:val="single"/>
          <w:lang w:eastAsia="ru-RU"/>
        </w:rPr>
      </w:pPr>
      <w:r w:rsidRPr="008F7FA3">
        <w:rPr>
          <w:rFonts w:ascii="Times New Roman" w:hAnsi="Times New Roman"/>
          <w:b/>
          <w:sz w:val="28"/>
          <w:szCs w:val="28"/>
          <w:u w:val="single"/>
        </w:rPr>
        <w:t>Энергосбережение и повышение энергетической эффективности</w:t>
      </w:r>
    </w:p>
    <w:p w:rsidR="00911873" w:rsidRPr="00D41834" w:rsidRDefault="00911873" w:rsidP="00911873">
      <w:pPr>
        <w:spacing w:after="0" w:line="240" w:lineRule="auto"/>
        <w:ind w:firstLine="709"/>
        <w:jc w:val="both"/>
        <w:rPr>
          <w:rFonts w:ascii="Times New Roman" w:hAnsi="Times New Roman"/>
          <w:sz w:val="28"/>
          <w:szCs w:val="28"/>
        </w:rPr>
      </w:pPr>
      <w:r w:rsidRPr="00D41834">
        <w:rPr>
          <w:rFonts w:ascii="Times New Roman" w:hAnsi="Times New Roman"/>
          <w:sz w:val="28"/>
          <w:szCs w:val="28"/>
        </w:rPr>
        <w:t>Несмотря на увеличение потребности в ресурсах по причине улучшения качества жизни населения и появления в быту современной энергоемкой техники, отмечается тенденция к снижению потребления ресурсов.</w:t>
      </w:r>
    </w:p>
    <w:p w:rsidR="006D5140" w:rsidRDefault="00A17B40" w:rsidP="00911873">
      <w:pPr>
        <w:spacing w:after="0" w:line="240" w:lineRule="auto"/>
        <w:ind w:firstLine="709"/>
        <w:jc w:val="both"/>
        <w:rPr>
          <w:rFonts w:ascii="Times New Roman" w:hAnsi="Times New Roman"/>
          <w:sz w:val="28"/>
          <w:szCs w:val="28"/>
        </w:rPr>
      </w:pPr>
      <w:r w:rsidRPr="00D41834">
        <w:rPr>
          <w:rFonts w:ascii="Times New Roman" w:hAnsi="Times New Roman"/>
          <w:noProof/>
          <w:sz w:val="28"/>
          <w:szCs w:val="28"/>
          <w:lang w:eastAsia="ru-RU"/>
        </w:rPr>
        <w:drawing>
          <wp:inline distT="0" distB="0" distL="0" distR="0">
            <wp:extent cx="5486400" cy="3200400"/>
            <wp:effectExtent l="19050" t="0" r="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17B40" w:rsidRDefault="00A17B40" w:rsidP="00911873">
      <w:pPr>
        <w:spacing w:after="0" w:line="240" w:lineRule="auto"/>
        <w:ind w:firstLine="709"/>
        <w:jc w:val="both"/>
        <w:rPr>
          <w:rFonts w:ascii="Times New Roman" w:hAnsi="Times New Roman"/>
          <w:sz w:val="28"/>
          <w:szCs w:val="28"/>
        </w:rPr>
      </w:pPr>
    </w:p>
    <w:sectPr w:rsidR="00A17B40" w:rsidSect="00FE0F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21554"/>
    <w:multiLevelType w:val="hybridMultilevel"/>
    <w:tmpl w:val="A2924C88"/>
    <w:lvl w:ilvl="0" w:tplc="1B58821A">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6E1708B"/>
    <w:multiLevelType w:val="multilevel"/>
    <w:tmpl w:val="B7FAA6B2"/>
    <w:lvl w:ilvl="0">
      <w:start w:val="1"/>
      <w:numFmt w:val="decimal"/>
      <w:lvlText w:val="%1"/>
      <w:lvlJc w:val="left"/>
      <w:pPr>
        <w:ind w:left="375" w:hanging="375"/>
      </w:pPr>
      <w:rPr>
        <w:rFonts w:cs="Times New Roman" w:hint="default"/>
      </w:rPr>
    </w:lvl>
    <w:lvl w:ilvl="1">
      <w:start w:val="2"/>
      <w:numFmt w:val="decimal"/>
      <w:lvlText w:val="%1.%2"/>
      <w:lvlJc w:val="left"/>
      <w:pPr>
        <w:ind w:left="1804" w:hanging="375"/>
      </w:pPr>
      <w:rPr>
        <w:rFonts w:cs="Times New Roman" w:hint="default"/>
      </w:rPr>
    </w:lvl>
    <w:lvl w:ilvl="2">
      <w:start w:val="1"/>
      <w:numFmt w:val="decimal"/>
      <w:lvlText w:val="%1.%2.%3"/>
      <w:lvlJc w:val="left"/>
      <w:pPr>
        <w:ind w:left="3578" w:hanging="720"/>
      </w:pPr>
      <w:rPr>
        <w:rFonts w:cs="Times New Roman" w:hint="default"/>
      </w:rPr>
    </w:lvl>
    <w:lvl w:ilvl="3">
      <w:start w:val="1"/>
      <w:numFmt w:val="decimal"/>
      <w:lvlText w:val="%1.%2.%3.%4"/>
      <w:lvlJc w:val="left"/>
      <w:pPr>
        <w:ind w:left="5367" w:hanging="1080"/>
      </w:pPr>
      <w:rPr>
        <w:rFonts w:cs="Times New Roman" w:hint="default"/>
      </w:rPr>
    </w:lvl>
    <w:lvl w:ilvl="4">
      <w:start w:val="1"/>
      <w:numFmt w:val="decimal"/>
      <w:lvlText w:val="%1.%2.%3.%4.%5"/>
      <w:lvlJc w:val="left"/>
      <w:pPr>
        <w:ind w:left="6796" w:hanging="1080"/>
      </w:pPr>
      <w:rPr>
        <w:rFonts w:cs="Times New Roman" w:hint="default"/>
      </w:rPr>
    </w:lvl>
    <w:lvl w:ilvl="5">
      <w:start w:val="1"/>
      <w:numFmt w:val="decimal"/>
      <w:lvlText w:val="%1.%2.%3.%4.%5.%6"/>
      <w:lvlJc w:val="left"/>
      <w:pPr>
        <w:ind w:left="8585" w:hanging="1440"/>
      </w:pPr>
      <w:rPr>
        <w:rFonts w:cs="Times New Roman" w:hint="default"/>
      </w:rPr>
    </w:lvl>
    <w:lvl w:ilvl="6">
      <w:start w:val="1"/>
      <w:numFmt w:val="decimal"/>
      <w:lvlText w:val="%1.%2.%3.%4.%5.%6.%7"/>
      <w:lvlJc w:val="left"/>
      <w:pPr>
        <w:ind w:left="10014" w:hanging="1440"/>
      </w:pPr>
      <w:rPr>
        <w:rFonts w:cs="Times New Roman" w:hint="default"/>
      </w:rPr>
    </w:lvl>
    <w:lvl w:ilvl="7">
      <w:start w:val="1"/>
      <w:numFmt w:val="decimal"/>
      <w:lvlText w:val="%1.%2.%3.%4.%5.%6.%7.%8"/>
      <w:lvlJc w:val="left"/>
      <w:pPr>
        <w:ind w:left="11803" w:hanging="1800"/>
      </w:pPr>
      <w:rPr>
        <w:rFonts w:cs="Times New Roman" w:hint="default"/>
      </w:rPr>
    </w:lvl>
    <w:lvl w:ilvl="8">
      <w:start w:val="1"/>
      <w:numFmt w:val="decimal"/>
      <w:lvlText w:val="%1.%2.%3.%4.%5.%6.%7.%8.%9"/>
      <w:lvlJc w:val="left"/>
      <w:pPr>
        <w:ind w:left="13592" w:hanging="2160"/>
      </w:pPr>
      <w:rPr>
        <w:rFonts w:cs="Times New Roman" w:hint="default"/>
      </w:rPr>
    </w:lvl>
  </w:abstractNum>
  <w:abstractNum w:abstractNumId="2">
    <w:nsid w:val="1A58542B"/>
    <w:multiLevelType w:val="multilevel"/>
    <w:tmpl w:val="793455F2"/>
    <w:lvl w:ilvl="0">
      <w:start w:val="1"/>
      <w:numFmt w:val="decimal"/>
      <w:lvlText w:val="%1."/>
      <w:lvlJc w:val="left"/>
      <w:pPr>
        <w:ind w:left="1068" w:hanging="360"/>
      </w:pPr>
      <w:rPr>
        <w:rFonts w:cs="Times New Roman" w:hint="default"/>
      </w:rPr>
    </w:lvl>
    <w:lvl w:ilvl="1">
      <w:start w:val="9"/>
      <w:numFmt w:val="decimal"/>
      <w:isLgl/>
      <w:lvlText w:val="%1.%2."/>
      <w:lvlJc w:val="left"/>
      <w:pPr>
        <w:ind w:left="1429" w:hanging="72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791" w:hanging="1080"/>
      </w:pPr>
      <w:rPr>
        <w:rFonts w:cs="Times New Roman" w:hint="default"/>
      </w:rPr>
    </w:lvl>
    <w:lvl w:ilvl="4">
      <w:start w:val="1"/>
      <w:numFmt w:val="decimal"/>
      <w:isLgl/>
      <w:lvlText w:val="%1.%2.%3.%4.%5."/>
      <w:lvlJc w:val="left"/>
      <w:pPr>
        <w:ind w:left="1792" w:hanging="1080"/>
      </w:pPr>
      <w:rPr>
        <w:rFonts w:cs="Times New Roman" w:hint="default"/>
      </w:rPr>
    </w:lvl>
    <w:lvl w:ilvl="5">
      <w:start w:val="1"/>
      <w:numFmt w:val="decimal"/>
      <w:isLgl/>
      <w:lvlText w:val="%1.%2.%3.%4.%5.%6."/>
      <w:lvlJc w:val="left"/>
      <w:pPr>
        <w:ind w:left="2153" w:hanging="1440"/>
      </w:pPr>
      <w:rPr>
        <w:rFonts w:cs="Times New Roman" w:hint="default"/>
      </w:rPr>
    </w:lvl>
    <w:lvl w:ilvl="6">
      <w:start w:val="1"/>
      <w:numFmt w:val="decimal"/>
      <w:isLgl/>
      <w:lvlText w:val="%1.%2.%3.%4.%5.%6.%7."/>
      <w:lvlJc w:val="left"/>
      <w:pPr>
        <w:ind w:left="2514" w:hanging="1800"/>
      </w:pPr>
      <w:rPr>
        <w:rFonts w:cs="Times New Roman" w:hint="default"/>
      </w:rPr>
    </w:lvl>
    <w:lvl w:ilvl="7">
      <w:start w:val="1"/>
      <w:numFmt w:val="decimal"/>
      <w:isLgl/>
      <w:lvlText w:val="%1.%2.%3.%4.%5.%6.%7.%8."/>
      <w:lvlJc w:val="left"/>
      <w:pPr>
        <w:ind w:left="2515" w:hanging="1800"/>
      </w:pPr>
      <w:rPr>
        <w:rFonts w:cs="Times New Roman" w:hint="default"/>
      </w:rPr>
    </w:lvl>
    <w:lvl w:ilvl="8">
      <w:start w:val="1"/>
      <w:numFmt w:val="decimal"/>
      <w:isLgl/>
      <w:lvlText w:val="%1.%2.%3.%4.%5.%6.%7.%8.%9."/>
      <w:lvlJc w:val="left"/>
      <w:pPr>
        <w:ind w:left="2876" w:hanging="2160"/>
      </w:pPr>
      <w:rPr>
        <w:rFonts w:cs="Times New Roman"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082C"/>
    <w:rsid w:val="00000C57"/>
    <w:rsid w:val="00001BE5"/>
    <w:rsid w:val="000022D1"/>
    <w:rsid w:val="000025E8"/>
    <w:rsid w:val="000036E4"/>
    <w:rsid w:val="000079E9"/>
    <w:rsid w:val="00010572"/>
    <w:rsid w:val="000112C9"/>
    <w:rsid w:val="000120A7"/>
    <w:rsid w:val="00012805"/>
    <w:rsid w:val="0001420B"/>
    <w:rsid w:val="0002118B"/>
    <w:rsid w:val="00021C77"/>
    <w:rsid w:val="00022520"/>
    <w:rsid w:val="00024D16"/>
    <w:rsid w:val="0002674E"/>
    <w:rsid w:val="0003066A"/>
    <w:rsid w:val="0003145B"/>
    <w:rsid w:val="000341CC"/>
    <w:rsid w:val="00034A27"/>
    <w:rsid w:val="000411AE"/>
    <w:rsid w:val="00047D1F"/>
    <w:rsid w:val="00052D2A"/>
    <w:rsid w:val="0005347B"/>
    <w:rsid w:val="00055BBC"/>
    <w:rsid w:val="00056596"/>
    <w:rsid w:val="000714D2"/>
    <w:rsid w:val="000772A8"/>
    <w:rsid w:val="00082423"/>
    <w:rsid w:val="00082E0F"/>
    <w:rsid w:val="0008774D"/>
    <w:rsid w:val="00090825"/>
    <w:rsid w:val="0009454F"/>
    <w:rsid w:val="000955AE"/>
    <w:rsid w:val="000A310B"/>
    <w:rsid w:val="000A332A"/>
    <w:rsid w:val="000A4C42"/>
    <w:rsid w:val="000B0935"/>
    <w:rsid w:val="000B200E"/>
    <w:rsid w:val="000B20ED"/>
    <w:rsid w:val="000C1DB0"/>
    <w:rsid w:val="000C2851"/>
    <w:rsid w:val="000C3141"/>
    <w:rsid w:val="000D0382"/>
    <w:rsid w:val="000D52CF"/>
    <w:rsid w:val="000D762B"/>
    <w:rsid w:val="000D7CA1"/>
    <w:rsid w:val="000E04EA"/>
    <w:rsid w:val="000E14B9"/>
    <w:rsid w:val="000E3719"/>
    <w:rsid w:val="000E7C4E"/>
    <w:rsid w:val="000F380F"/>
    <w:rsid w:val="000F74E7"/>
    <w:rsid w:val="00101D57"/>
    <w:rsid w:val="00102A2C"/>
    <w:rsid w:val="00102D7D"/>
    <w:rsid w:val="001047B2"/>
    <w:rsid w:val="00106DD3"/>
    <w:rsid w:val="00107B6B"/>
    <w:rsid w:val="00113FA8"/>
    <w:rsid w:val="00114EA6"/>
    <w:rsid w:val="001254A1"/>
    <w:rsid w:val="00125D2D"/>
    <w:rsid w:val="001347C8"/>
    <w:rsid w:val="00137C76"/>
    <w:rsid w:val="00140CC6"/>
    <w:rsid w:val="00144824"/>
    <w:rsid w:val="001476CB"/>
    <w:rsid w:val="001517DB"/>
    <w:rsid w:val="00156811"/>
    <w:rsid w:val="00156C3B"/>
    <w:rsid w:val="00156EA8"/>
    <w:rsid w:val="00160D53"/>
    <w:rsid w:val="00170261"/>
    <w:rsid w:val="001719F4"/>
    <w:rsid w:val="001768FC"/>
    <w:rsid w:val="00176CCC"/>
    <w:rsid w:val="001815B5"/>
    <w:rsid w:val="00181BBC"/>
    <w:rsid w:val="00183868"/>
    <w:rsid w:val="00191C62"/>
    <w:rsid w:val="00194BB9"/>
    <w:rsid w:val="001958AB"/>
    <w:rsid w:val="00196318"/>
    <w:rsid w:val="001A2B6E"/>
    <w:rsid w:val="001B1F17"/>
    <w:rsid w:val="001B45D3"/>
    <w:rsid w:val="001C1160"/>
    <w:rsid w:val="001C3C55"/>
    <w:rsid w:val="001C542D"/>
    <w:rsid w:val="001D183E"/>
    <w:rsid w:val="001E13A4"/>
    <w:rsid w:val="001E6C9F"/>
    <w:rsid w:val="001F1244"/>
    <w:rsid w:val="001F2AA0"/>
    <w:rsid w:val="001F3D5C"/>
    <w:rsid w:val="001F72F7"/>
    <w:rsid w:val="00206C2B"/>
    <w:rsid w:val="00215215"/>
    <w:rsid w:val="00215387"/>
    <w:rsid w:val="00221284"/>
    <w:rsid w:val="00225A25"/>
    <w:rsid w:val="00225ACC"/>
    <w:rsid w:val="00237482"/>
    <w:rsid w:val="00237755"/>
    <w:rsid w:val="00242746"/>
    <w:rsid w:val="00242AE0"/>
    <w:rsid w:val="00243A4D"/>
    <w:rsid w:val="00243B27"/>
    <w:rsid w:val="00244D5A"/>
    <w:rsid w:val="00245285"/>
    <w:rsid w:val="002503F6"/>
    <w:rsid w:val="002562EC"/>
    <w:rsid w:val="00261C2D"/>
    <w:rsid w:val="00262C5A"/>
    <w:rsid w:val="0026596F"/>
    <w:rsid w:val="0027063B"/>
    <w:rsid w:val="00281AF3"/>
    <w:rsid w:val="00282399"/>
    <w:rsid w:val="0028684D"/>
    <w:rsid w:val="0028699C"/>
    <w:rsid w:val="00292840"/>
    <w:rsid w:val="002934E8"/>
    <w:rsid w:val="00293A78"/>
    <w:rsid w:val="00294568"/>
    <w:rsid w:val="00294F62"/>
    <w:rsid w:val="002A051D"/>
    <w:rsid w:val="002A3E4A"/>
    <w:rsid w:val="002A4605"/>
    <w:rsid w:val="002A67F3"/>
    <w:rsid w:val="002B0A4F"/>
    <w:rsid w:val="002B5D44"/>
    <w:rsid w:val="002B78AD"/>
    <w:rsid w:val="002C6165"/>
    <w:rsid w:val="002D081F"/>
    <w:rsid w:val="002D4967"/>
    <w:rsid w:val="002D4CFD"/>
    <w:rsid w:val="002E7B65"/>
    <w:rsid w:val="002F4EC2"/>
    <w:rsid w:val="00304F8C"/>
    <w:rsid w:val="003056C4"/>
    <w:rsid w:val="00310B20"/>
    <w:rsid w:val="0031531B"/>
    <w:rsid w:val="00315AE7"/>
    <w:rsid w:val="00316D1C"/>
    <w:rsid w:val="0032303F"/>
    <w:rsid w:val="0032757D"/>
    <w:rsid w:val="00333D11"/>
    <w:rsid w:val="00337D9E"/>
    <w:rsid w:val="0034035A"/>
    <w:rsid w:val="00352D94"/>
    <w:rsid w:val="00356611"/>
    <w:rsid w:val="00357CAB"/>
    <w:rsid w:val="00364319"/>
    <w:rsid w:val="003671BF"/>
    <w:rsid w:val="0037087D"/>
    <w:rsid w:val="0037561F"/>
    <w:rsid w:val="00377A8F"/>
    <w:rsid w:val="00377CF4"/>
    <w:rsid w:val="00382021"/>
    <w:rsid w:val="003908E5"/>
    <w:rsid w:val="00394822"/>
    <w:rsid w:val="003951D3"/>
    <w:rsid w:val="003A0067"/>
    <w:rsid w:val="003A11D8"/>
    <w:rsid w:val="003B288C"/>
    <w:rsid w:val="003B4EA5"/>
    <w:rsid w:val="003C0CAC"/>
    <w:rsid w:val="003C6343"/>
    <w:rsid w:val="003E3BED"/>
    <w:rsid w:val="003E3DCA"/>
    <w:rsid w:val="003E70A7"/>
    <w:rsid w:val="003F4AB4"/>
    <w:rsid w:val="003F5159"/>
    <w:rsid w:val="003F7D9C"/>
    <w:rsid w:val="00400630"/>
    <w:rsid w:val="0040141C"/>
    <w:rsid w:val="0040367F"/>
    <w:rsid w:val="00403EC7"/>
    <w:rsid w:val="00431DB8"/>
    <w:rsid w:val="00433B22"/>
    <w:rsid w:val="00434BA1"/>
    <w:rsid w:val="00440267"/>
    <w:rsid w:val="00461715"/>
    <w:rsid w:val="00462B68"/>
    <w:rsid w:val="00467EB8"/>
    <w:rsid w:val="004714B3"/>
    <w:rsid w:val="004749A9"/>
    <w:rsid w:val="00475D8C"/>
    <w:rsid w:val="00477241"/>
    <w:rsid w:val="004773F9"/>
    <w:rsid w:val="00482BAB"/>
    <w:rsid w:val="004838D0"/>
    <w:rsid w:val="004843B8"/>
    <w:rsid w:val="004868DB"/>
    <w:rsid w:val="00487085"/>
    <w:rsid w:val="00490344"/>
    <w:rsid w:val="00492B16"/>
    <w:rsid w:val="0049690B"/>
    <w:rsid w:val="004A17B0"/>
    <w:rsid w:val="004A3B49"/>
    <w:rsid w:val="004B33B3"/>
    <w:rsid w:val="004B4878"/>
    <w:rsid w:val="004B71B6"/>
    <w:rsid w:val="004C086F"/>
    <w:rsid w:val="004C4754"/>
    <w:rsid w:val="004D1BCF"/>
    <w:rsid w:val="004D6C1B"/>
    <w:rsid w:val="004E0E21"/>
    <w:rsid w:val="004E35DF"/>
    <w:rsid w:val="004E63A6"/>
    <w:rsid w:val="004E6AA0"/>
    <w:rsid w:val="004F3F80"/>
    <w:rsid w:val="004F6ED3"/>
    <w:rsid w:val="004F74F0"/>
    <w:rsid w:val="0050468D"/>
    <w:rsid w:val="00504CAE"/>
    <w:rsid w:val="00507625"/>
    <w:rsid w:val="00510A07"/>
    <w:rsid w:val="005110E1"/>
    <w:rsid w:val="00512B53"/>
    <w:rsid w:val="00513B79"/>
    <w:rsid w:val="00514FF6"/>
    <w:rsid w:val="005163ED"/>
    <w:rsid w:val="00524C30"/>
    <w:rsid w:val="00532A9C"/>
    <w:rsid w:val="00533915"/>
    <w:rsid w:val="00534A3B"/>
    <w:rsid w:val="00543449"/>
    <w:rsid w:val="00544353"/>
    <w:rsid w:val="0054659E"/>
    <w:rsid w:val="00551A9E"/>
    <w:rsid w:val="00554DC9"/>
    <w:rsid w:val="00556A4A"/>
    <w:rsid w:val="005614B4"/>
    <w:rsid w:val="005631EC"/>
    <w:rsid w:val="00566484"/>
    <w:rsid w:val="00567AF4"/>
    <w:rsid w:val="00567CAD"/>
    <w:rsid w:val="005717FA"/>
    <w:rsid w:val="00571B66"/>
    <w:rsid w:val="005730BB"/>
    <w:rsid w:val="0057537B"/>
    <w:rsid w:val="00580AEF"/>
    <w:rsid w:val="005841D5"/>
    <w:rsid w:val="00596637"/>
    <w:rsid w:val="005A26E9"/>
    <w:rsid w:val="005A3EB7"/>
    <w:rsid w:val="005A403F"/>
    <w:rsid w:val="005A49AC"/>
    <w:rsid w:val="005A7088"/>
    <w:rsid w:val="005B0C1E"/>
    <w:rsid w:val="005B19B0"/>
    <w:rsid w:val="005C44C3"/>
    <w:rsid w:val="005C44D1"/>
    <w:rsid w:val="005C7289"/>
    <w:rsid w:val="005D1285"/>
    <w:rsid w:val="005D2017"/>
    <w:rsid w:val="005D577C"/>
    <w:rsid w:val="005D6071"/>
    <w:rsid w:val="005E39FA"/>
    <w:rsid w:val="005E5FE2"/>
    <w:rsid w:val="005E65DB"/>
    <w:rsid w:val="005F38FC"/>
    <w:rsid w:val="005F6DF7"/>
    <w:rsid w:val="00600150"/>
    <w:rsid w:val="00600335"/>
    <w:rsid w:val="006044A8"/>
    <w:rsid w:val="00607DBA"/>
    <w:rsid w:val="006147FC"/>
    <w:rsid w:val="00615F46"/>
    <w:rsid w:val="00616F93"/>
    <w:rsid w:val="00617BC0"/>
    <w:rsid w:val="0062227E"/>
    <w:rsid w:val="00625CFC"/>
    <w:rsid w:val="006314E6"/>
    <w:rsid w:val="0063695F"/>
    <w:rsid w:val="0064105E"/>
    <w:rsid w:val="00643961"/>
    <w:rsid w:val="00644FBF"/>
    <w:rsid w:val="0064775D"/>
    <w:rsid w:val="00657DC1"/>
    <w:rsid w:val="0066312E"/>
    <w:rsid w:val="00666727"/>
    <w:rsid w:val="00680161"/>
    <w:rsid w:val="00682040"/>
    <w:rsid w:val="00684686"/>
    <w:rsid w:val="006909FF"/>
    <w:rsid w:val="00692F18"/>
    <w:rsid w:val="006948AD"/>
    <w:rsid w:val="006A4F8B"/>
    <w:rsid w:val="006A577E"/>
    <w:rsid w:val="006A5DC4"/>
    <w:rsid w:val="006A73E1"/>
    <w:rsid w:val="006B30A4"/>
    <w:rsid w:val="006C41C1"/>
    <w:rsid w:val="006C54DB"/>
    <w:rsid w:val="006C5A19"/>
    <w:rsid w:val="006D0CB9"/>
    <w:rsid w:val="006D4C9B"/>
    <w:rsid w:val="006D5140"/>
    <w:rsid w:val="006D5A47"/>
    <w:rsid w:val="006E19D7"/>
    <w:rsid w:val="006E2D1B"/>
    <w:rsid w:val="006E3E77"/>
    <w:rsid w:val="006F1A9C"/>
    <w:rsid w:val="006F7F72"/>
    <w:rsid w:val="00703841"/>
    <w:rsid w:val="007074F8"/>
    <w:rsid w:val="007157FC"/>
    <w:rsid w:val="00722104"/>
    <w:rsid w:val="00723565"/>
    <w:rsid w:val="007310BA"/>
    <w:rsid w:val="00734579"/>
    <w:rsid w:val="007353CD"/>
    <w:rsid w:val="00735C86"/>
    <w:rsid w:val="00743A8F"/>
    <w:rsid w:val="007474B3"/>
    <w:rsid w:val="007510AE"/>
    <w:rsid w:val="00751224"/>
    <w:rsid w:val="00753F44"/>
    <w:rsid w:val="00756690"/>
    <w:rsid w:val="00757854"/>
    <w:rsid w:val="00757872"/>
    <w:rsid w:val="007608C3"/>
    <w:rsid w:val="007641DB"/>
    <w:rsid w:val="007736D4"/>
    <w:rsid w:val="0077707D"/>
    <w:rsid w:val="00782500"/>
    <w:rsid w:val="00784AEA"/>
    <w:rsid w:val="00791E03"/>
    <w:rsid w:val="00796A96"/>
    <w:rsid w:val="007A15C2"/>
    <w:rsid w:val="007B14D3"/>
    <w:rsid w:val="007B1F5A"/>
    <w:rsid w:val="007B512E"/>
    <w:rsid w:val="007B6576"/>
    <w:rsid w:val="007B7AD2"/>
    <w:rsid w:val="007C0E22"/>
    <w:rsid w:val="007C17CC"/>
    <w:rsid w:val="007C6C9C"/>
    <w:rsid w:val="007D13E7"/>
    <w:rsid w:val="007D1D9A"/>
    <w:rsid w:val="007D241D"/>
    <w:rsid w:val="007D55FD"/>
    <w:rsid w:val="007E48D4"/>
    <w:rsid w:val="007E56AE"/>
    <w:rsid w:val="007E6CE6"/>
    <w:rsid w:val="007F1CEC"/>
    <w:rsid w:val="007F2E3E"/>
    <w:rsid w:val="007F3C8A"/>
    <w:rsid w:val="007F4548"/>
    <w:rsid w:val="007F607B"/>
    <w:rsid w:val="00800831"/>
    <w:rsid w:val="00803032"/>
    <w:rsid w:val="00805B92"/>
    <w:rsid w:val="008100D8"/>
    <w:rsid w:val="008108C7"/>
    <w:rsid w:val="0081189C"/>
    <w:rsid w:val="00812920"/>
    <w:rsid w:val="00815696"/>
    <w:rsid w:val="00817F7C"/>
    <w:rsid w:val="00823579"/>
    <w:rsid w:val="00826922"/>
    <w:rsid w:val="00826BFF"/>
    <w:rsid w:val="00836AE6"/>
    <w:rsid w:val="00837A76"/>
    <w:rsid w:val="00843085"/>
    <w:rsid w:val="00843260"/>
    <w:rsid w:val="00844B48"/>
    <w:rsid w:val="0084759A"/>
    <w:rsid w:val="00850F3C"/>
    <w:rsid w:val="00857447"/>
    <w:rsid w:val="00860063"/>
    <w:rsid w:val="00860C84"/>
    <w:rsid w:val="008612BB"/>
    <w:rsid w:val="00865ED0"/>
    <w:rsid w:val="00876DDB"/>
    <w:rsid w:val="008818D8"/>
    <w:rsid w:val="00881E85"/>
    <w:rsid w:val="00884EBF"/>
    <w:rsid w:val="00890CFA"/>
    <w:rsid w:val="00890D7C"/>
    <w:rsid w:val="00891F70"/>
    <w:rsid w:val="008A4FB5"/>
    <w:rsid w:val="008A5F7F"/>
    <w:rsid w:val="008A6754"/>
    <w:rsid w:val="008A6AE7"/>
    <w:rsid w:val="008A702F"/>
    <w:rsid w:val="008B14F6"/>
    <w:rsid w:val="008B3137"/>
    <w:rsid w:val="008B633B"/>
    <w:rsid w:val="008B7B0F"/>
    <w:rsid w:val="008C17B3"/>
    <w:rsid w:val="008C2B9B"/>
    <w:rsid w:val="008C3970"/>
    <w:rsid w:val="008D0579"/>
    <w:rsid w:val="008D41E1"/>
    <w:rsid w:val="008D69B0"/>
    <w:rsid w:val="008E0865"/>
    <w:rsid w:val="008E4D59"/>
    <w:rsid w:val="008E4E0B"/>
    <w:rsid w:val="008F102B"/>
    <w:rsid w:val="008F1371"/>
    <w:rsid w:val="008F36DA"/>
    <w:rsid w:val="008F54A3"/>
    <w:rsid w:val="008F5A39"/>
    <w:rsid w:val="008F7FA3"/>
    <w:rsid w:val="00900AFF"/>
    <w:rsid w:val="00901264"/>
    <w:rsid w:val="00902495"/>
    <w:rsid w:val="009024E7"/>
    <w:rsid w:val="00902FEA"/>
    <w:rsid w:val="009060DB"/>
    <w:rsid w:val="00906531"/>
    <w:rsid w:val="00911873"/>
    <w:rsid w:val="009166C5"/>
    <w:rsid w:val="00925CBC"/>
    <w:rsid w:val="00927AB7"/>
    <w:rsid w:val="009300D6"/>
    <w:rsid w:val="009308AB"/>
    <w:rsid w:val="009379A5"/>
    <w:rsid w:val="00940866"/>
    <w:rsid w:val="00942E0B"/>
    <w:rsid w:val="009443B8"/>
    <w:rsid w:val="00944C1D"/>
    <w:rsid w:val="009456C1"/>
    <w:rsid w:val="00950F16"/>
    <w:rsid w:val="00953AD3"/>
    <w:rsid w:val="0095445B"/>
    <w:rsid w:val="00955376"/>
    <w:rsid w:val="009576D4"/>
    <w:rsid w:val="00960726"/>
    <w:rsid w:val="00965645"/>
    <w:rsid w:val="00967950"/>
    <w:rsid w:val="00977E3A"/>
    <w:rsid w:val="009842FC"/>
    <w:rsid w:val="009855B6"/>
    <w:rsid w:val="0099162D"/>
    <w:rsid w:val="009A026B"/>
    <w:rsid w:val="009A4A3A"/>
    <w:rsid w:val="009A4CD6"/>
    <w:rsid w:val="009A57E4"/>
    <w:rsid w:val="009A6A89"/>
    <w:rsid w:val="009B04E8"/>
    <w:rsid w:val="009B1302"/>
    <w:rsid w:val="009B2EC7"/>
    <w:rsid w:val="009B5AA7"/>
    <w:rsid w:val="009C21E8"/>
    <w:rsid w:val="009C23E4"/>
    <w:rsid w:val="009C37DD"/>
    <w:rsid w:val="009C76FD"/>
    <w:rsid w:val="009D08FE"/>
    <w:rsid w:val="009D0BA9"/>
    <w:rsid w:val="009D267A"/>
    <w:rsid w:val="009D6C60"/>
    <w:rsid w:val="009D6C6E"/>
    <w:rsid w:val="009E0B51"/>
    <w:rsid w:val="009E0ECE"/>
    <w:rsid w:val="009E21DB"/>
    <w:rsid w:val="009E27CD"/>
    <w:rsid w:val="009E59E4"/>
    <w:rsid w:val="009E7713"/>
    <w:rsid w:val="009E7EB9"/>
    <w:rsid w:val="009F082C"/>
    <w:rsid w:val="009F27F7"/>
    <w:rsid w:val="00A01669"/>
    <w:rsid w:val="00A02B06"/>
    <w:rsid w:val="00A03F92"/>
    <w:rsid w:val="00A11271"/>
    <w:rsid w:val="00A11E8D"/>
    <w:rsid w:val="00A1236E"/>
    <w:rsid w:val="00A12DE1"/>
    <w:rsid w:val="00A16CBF"/>
    <w:rsid w:val="00A175CB"/>
    <w:rsid w:val="00A17B40"/>
    <w:rsid w:val="00A2183C"/>
    <w:rsid w:val="00A27562"/>
    <w:rsid w:val="00A276C0"/>
    <w:rsid w:val="00A32F48"/>
    <w:rsid w:val="00A36450"/>
    <w:rsid w:val="00A41548"/>
    <w:rsid w:val="00A43650"/>
    <w:rsid w:val="00A45177"/>
    <w:rsid w:val="00A46908"/>
    <w:rsid w:val="00A4749A"/>
    <w:rsid w:val="00A55AAF"/>
    <w:rsid w:val="00A632CB"/>
    <w:rsid w:val="00A63E1B"/>
    <w:rsid w:val="00A63EB5"/>
    <w:rsid w:val="00A647C0"/>
    <w:rsid w:val="00A705FE"/>
    <w:rsid w:val="00A71AFF"/>
    <w:rsid w:val="00A75713"/>
    <w:rsid w:val="00A76178"/>
    <w:rsid w:val="00A772AC"/>
    <w:rsid w:val="00A87582"/>
    <w:rsid w:val="00A9136D"/>
    <w:rsid w:val="00A92EDF"/>
    <w:rsid w:val="00A9478C"/>
    <w:rsid w:val="00A95C5A"/>
    <w:rsid w:val="00AB1101"/>
    <w:rsid w:val="00AB436F"/>
    <w:rsid w:val="00AB4FE9"/>
    <w:rsid w:val="00AD06F6"/>
    <w:rsid w:val="00AD4624"/>
    <w:rsid w:val="00AD60D3"/>
    <w:rsid w:val="00AD6D9E"/>
    <w:rsid w:val="00AD73E5"/>
    <w:rsid w:val="00AE4085"/>
    <w:rsid w:val="00AE6564"/>
    <w:rsid w:val="00AE7962"/>
    <w:rsid w:val="00AF3671"/>
    <w:rsid w:val="00AF411E"/>
    <w:rsid w:val="00AF69E5"/>
    <w:rsid w:val="00AF7CEA"/>
    <w:rsid w:val="00B0036A"/>
    <w:rsid w:val="00B00BD2"/>
    <w:rsid w:val="00B02C68"/>
    <w:rsid w:val="00B0336C"/>
    <w:rsid w:val="00B0477B"/>
    <w:rsid w:val="00B07D07"/>
    <w:rsid w:val="00B1127C"/>
    <w:rsid w:val="00B121CE"/>
    <w:rsid w:val="00B15ACA"/>
    <w:rsid w:val="00B21089"/>
    <w:rsid w:val="00B2449B"/>
    <w:rsid w:val="00B24DAB"/>
    <w:rsid w:val="00B262D6"/>
    <w:rsid w:val="00B26B05"/>
    <w:rsid w:val="00B26E4A"/>
    <w:rsid w:val="00B314AD"/>
    <w:rsid w:val="00B37A0B"/>
    <w:rsid w:val="00B40DA2"/>
    <w:rsid w:val="00B4174D"/>
    <w:rsid w:val="00B422C9"/>
    <w:rsid w:val="00B476AF"/>
    <w:rsid w:val="00B5163F"/>
    <w:rsid w:val="00B52E4B"/>
    <w:rsid w:val="00B55240"/>
    <w:rsid w:val="00B55F97"/>
    <w:rsid w:val="00B64348"/>
    <w:rsid w:val="00B7082C"/>
    <w:rsid w:val="00B711FA"/>
    <w:rsid w:val="00B712B9"/>
    <w:rsid w:val="00B714AA"/>
    <w:rsid w:val="00B7230A"/>
    <w:rsid w:val="00B72D03"/>
    <w:rsid w:val="00B760D4"/>
    <w:rsid w:val="00B76AA2"/>
    <w:rsid w:val="00B82B87"/>
    <w:rsid w:val="00B87CBD"/>
    <w:rsid w:val="00B9195A"/>
    <w:rsid w:val="00B926DC"/>
    <w:rsid w:val="00B97EAB"/>
    <w:rsid w:val="00BA29F9"/>
    <w:rsid w:val="00BA5871"/>
    <w:rsid w:val="00BA5F9E"/>
    <w:rsid w:val="00BA6384"/>
    <w:rsid w:val="00BB05BE"/>
    <w:rsid w:val="00BB0A5F"/>
    <w:rsid w:val="00BB4468"/>
    <w:rsid w:val="00BB44DB"/>
    <w:rsid w:val="00BB5AC7"/>
    <w:rsid w:val="00BC23EF"/>
    <w:rsid w:val="00BC3975"/>
    <w:rsid w:val="00BD4F29"/>
    <w:rsid w:val="00BD571C"/>
    <w:rsid w:val="00BE2B8D"/>
    <w:rsid w:val="00BE3F77"/>
    <w:rsid w:val="00BF16D9"/>
    <w:rsid w:val="00BF4210"/>
    <w:rsid w:val="00C05381"/>
    <w:rsid w:val="00C10ADE"/>
    <w:rsid w:val="00C1361C"/>
    <w:rsid w:val="00C15FBD"/>
    <w:rsid w:val="00C16AB3"/>
    <w:rsid w:val="00C16EA9"/>
    <w:rsid w:val="00C2383B"/>
    <w:rsid w:val="00C246BE"/>
    <w:rsid w:val="00C2690D"/>
    <w:rsid w:val="00C2740D"/>
    <w:rsid w:val="00C27C2D"/>
    <w:rsid w:val="00C3401C"/>
    <w:rsid w:val="00C42D07"/>
    <w:rsid w:val="00C4438F"/>
    <w:rsid w:val="00C4738F"/>
    <w:rsid w:val="00C47C48"/>
    <w:rsid w:val="00C518B0"/>
    <w:rsid w:val="00C53348"/>
    <w:rsid w:val="00C53B45"/>
    <w:rsid w:val="00C548B8"/>
    <w:rsid w:val="00C55E9E"/>
    <w:rsid w:val="00C57624"/>
    <w:rsid w:val="00C60BC3"/>
    <w:rsid w:val="00C636D5"/>
    <w:rsid w:val="00C66AE3"/>
    <w:rsid w:val="00C66CB6"/>
    <w:rsid w:val="00C67CA0"/>
    <w:rsid w:val="00C67F68"/>
    <w:rsid w:val="00C70822"/>
    <w:rsid w:val="00C750DF"/>
    <w:rsid w:val="00C820E0"/>
    <w:rsid w:val="00C8379A"/>
    <w:rsid w:val="00C9355E"/>
    <w:rsid w:val="00C9427A"/>
    <w:rsid w:val="00C9469E"/>
    <w:rsid w:val="00C94AF5"/>
    <w:rsid w:val="00CA0472"/>
    <w:rsid w:val="00CA167B"/>
    <w:rsid w:val="00CA3820"/>
    <w:rsid w:val="00CA4056"/>
    <w:rsid w:val="00CA678B"/>
    <w:rsid w:val="00CA67B2"/>
    <w:rsid w:val="00CA6FDE"/>
    <w:rsid w:val="00CB37A6"/>
    <w:rsid w:val="00CB4378"/>
    <w:rsid w:val="00CC1FA0"/>
    <w:rsid w:val="00CD07A8"/>
    <w:rsid w:val="00CD183D"/>
    <w:rsid w:val="00CD3EE6"/>
    <w:rsid w:val="00CD5AAC"/>
    <w:rsid w:val="00CD7445"/>
    <w:rsid w:val="00CE3A62"/>
    <w:rsid w:val="00CF1909"/>
    <w:rsid w:val="00CF22ED"/>
    <w:rsid w:val="00CF3B5B"/>
    <w:rsid w:val="00CF5189"/>
    <w:rsid w:val="00CF5A38"/>
    <w:rsid w:val="00D032A5"/>
    <w:rsid w:val="00D046BF"/>
    <w:rsid w:val="00D04CBF"/>
    <w:rsid w:val="00D10259"/>
    <w:rsid w:val="00D15A9B"/>
    <w:rsid w:val="00D24911"/>
    <w:rsid w:val="00D26DF7"/>
    <w:rsid w:val="00D307EC"/>
    <w:rsid w:val="00D32929"/>
    <w:rsid w:val="00D3677F"/>
    <w:rsid w:val="00D41834"/>
    <w:rsid w:val="00D44E50"/>
    <w:rsid w:val="00D45D72"/>
    <w:rsid w:val="00D5249A"/>
    <w:rsid w:val="00D55B85"/>
    <w:rsid w:val="00D707D5"/>
    <w:rsid w:val="00D70F99"/>
    <w:rsid w:val="00D722CE"/>
    <w:rsid w:val="00D800CE"/>
    <w:rsid w:val="00D803AC"/>
    <w:rsid w:val="00D81654"/>
    <w:rsid w:val="00D8412A"/>
    <w:rsid w:val="00D92939"/>
    <w:rsid w:val="00D95873"/>
    <w:rsid w:val="00D975FD"/>
    <w:rsid w:val="00DA2B56"/>
    <w:rsid w:val="00DA3713"/>
    <w:rsid w:val="00DA7BB7"/>
    <w:rsid w:val="00DB1C7E"/>
    <w:rsid w:val="00DB3385"/>
    <w:rsid w:val="00DB39AB"/>
    <w:rsid w:val="00DC0227"/>
    <w:rsid w:val="00DC15C5"/>
    <w:rsid w:val="00DC216C"/>
    <w:rsid w:val="00DC507E"/>
    <w:rsid w:val="00DC6181"/>
    <w:rsid w:val="00DC7320"/>
    <w:rsid w:val="00DC7E32"/>
    <w:rsid w:val="00DD0B76"/>
    <w:rsid w:val="00DD0E98"/>
    <w:rsid w:val="00DE06AB"/>
    <w:rsid w:val="00DE3901"/>
    <w:rsid w:val="00DE415E"/>
    <w:rsid w:val="00DE577C"/>
    <w:rsid w:val="00DE5F69"/>
    <w:rsid w:val="00DE6FA3"/>
    <w:rsid w:val="00DE75BA"/>
    <w:rsid w:val="00DF0C1C"/>
    <w:rsid w:val="00DF262C"/>
    <w:rsid w:val="00DF311B"/>
    <w:rsid w:val="00DF5F6D"/>
    <w:rsid w:val="00DF6EEE"/>
    <w:rsid w:val="00E1232C"/>
    <w:rsid w:val="00E130F1"/>
    <w:rsid w:val="00E13DB8"/>
    <w:rsid w:val="00E16D6F"/>
    <w:rsid w:val="00E22723"/>
    <w:rsid w:val="00E250C3"/>
    <w:rsid w:val="00E30234"/>
    <w:rsid w:val="00E31669"/>
    <w:rsid w:val="00E34748"/>
    <w:rsid w:val="00E548A2"/>
    <w:rsid w:val="00E60C72"/>
    <w:rsid w:val="00E617FE"/>
    <w:rsid w:val="00E63D12"/>
    <w:rsid w:val="00E64391"/>
    <w:rsid w:val="00E667B6"/>
    <w:rsid w:val="00E67107"/>
    <w:rsid w:val="00E756EA"/>
    <w:rsid w:val="00E76B11"/>
    <w:rsid w:val="00E801C8"/>
    <w:rsid w:val="00E820F7"/>
    <w:rsid w:val="00E860A2"/>
    <w:rsid w:val="00E86A64"/>
    <w:rsid w:val="00E92153"/>
    <w:rsid w:val="00E92267"/>
    <w:rsid w:val="00EA0B50"/>
    <w:rsid w:val="00EA287F"/>
    <w:rsid w:val="00EA359F"/>
    <w:rsid w:val="00EA54D9"/>
    <w:rsid w:val="00EB221A"/>
    <w:rsid w:val="00EB3B76"/>
    <w:rsid w:val="00EB56B4"/>
    <w:rsid w:val="00EC4D96"/>
    <w:rsid w:val="00EC6E30"/>
    <w:rsid w:val="00EC79DE"/>
    <w:rsid w:val="00EE4609"/>
    <w:rsid w:val="00EE5E48"/>
    <w:rsid w:val="00EE7C46"/>
    <w:rsid w:val="00EF309B"/>
    <w:rsid w:val="00F013E4"/>
    <w:rsid w:val="00F01741"/>
    <w:rsid w:val="00F05D11"/>
    <w:rsid w:val="00F06BB7"/>
    <w:rsid w:val="00F078E3"/>
    <w:rsid w:val="00F10992"/>
    <w:rsid w:val="00F140C7"/>
    <w:rsid w:val="00F1681D"/>
    <w:rsid w:val="00F21DD8"/>
    <w:rsid w:val="00F222E8"/>
    <w:rsid w:val="00F2313D"/>
    <w:rsid w:val="00F26BAA"/>
    <w:rsid w:val="00F2751B"/>
    <w:rsid w:val="00F275D6"/>
    <w:rsid w:val="00F30F9F"/>
    <w:rsid w:val="00F32709"/>
    <w:rsid w:val="00F33B20"/>
    <w:rsid w:val="00F345DF"/>
    <w:rsid w:val="00F34C63"/>
    <w:rsid w:val="00F4063F"/>
    <w:rsid w:val="00F409F1"/>
    <w:rsid w:val="00F42EB7"/>
    <w:rsid w:val="00F47A33"/>
    <w:rsid w:val="00F47BFF"/>
    <w:rsid w:val="00F55D1F"/>
    <w:rsid w:val="00F56709"/>
    <w:rsid w:val="00F56A2C"/>
    <w:rsid w:val="00F56F21"/>
    <w:rsid w:val="00F60CF8"/>
    <w:rsid w:val="00F622A5"/>
    <w:rsid w:val="00F6509D"/>
    <w:rsid w:val="00F6711B"/>
    <w:rsid w:val="00F765CD"/>
    <w:rsid w:val="00F81BB7"/>
    <w:rsid w:val="00F8798C"/>
    <w:rsid w:val="00F977AD"/>
    <w:rsid w:val="00FA2C9B"/>
    <w:rsid w:val="00FA79CC"/>
    <w:rsid w:val="00FA7E38"/>
    <w:rsid w:val="00FB1571"/>
    <w:rsid w:val="00FB1E58"/>
    <w:rsid w:val="00FB2A80"/>
    <w:rsid w:val="00FB7C48"/>
    <w:rsid w:val="00FC19F2"/>
    <w:rsid w:val="00FC2521"/>
    <w:rsid w:val="00FC2A07"/>
    <w:rsid w:val="00FD1E44"/>
    <w:rsid w:val="00FD2DDB"/>
    <w:rsid w:val="00FD595A"/>
    <w:rsid w:val="00FE0F0B"/>
    <w:rsid w:val="00FE15DC"/>
    <w:rsid w:val="00FE4EF8"/>
    <w:rsid w:val="00FE6F8E"/>
    <w:rsid w:val="00FF04DB"/>
    <w:rsid w:val="00FF14CB"/>
    <w:rsid w:val="00FF2595"/>
    <w:rsid w:val="00FF5BE2"/>
    <w:rsid w:val="00FF62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82C"/>
    <w:pPr>
      <w:spacing w:after="200" w:line="276" w:lineRule="auto"/>
      <w:ind w:firstLine="0"/>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5D8C"/>
    <w:pPr>
      <w:ind w:left="720"/>
      <w:contextualSpacing/>
    </w:pPr>
  </w:style>
  <w:style w:type="paragraph" w:customStyle="1" w:styleId="msonormalcxspmiddlecxspmiddlecxspmiddlecxspmiddlecxspmiddlecxsplast">
    <w:name w:val="msonormalcxspmiddlecxspmiddlecxspmiddlecxspmiddlecxspmiddlecxsplast"/>
    <w:basedOn w:val="a"/>
    <w:rsid w:val="00137C7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cxspmiddlecxspmiddlecxspmiddlecxspmiddle">
    <w:name w:val="msonormalcxspmiddlecxspmiddlecxspmiddlecxspmiddlecxspmiddlecxspmiddle"/>
    <w:basedOn w:val="a"/>
    <w:rsid w:val="00B033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cxspmiddlecxspmiddle">
    <w:name w:val="msonormalcxspmiddlecxspmiddlecxspmiddlecxspmiddle"/>
    <w:basedOn w:val="a"/>
    <w:uiPriority w:val="99"/>
    <w:semiHidden/>
    <w:rsid w:val="003B288C"/>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ody Text Indent"/>
    <w:basedOn w:val="a"/>
    <w:link w:val="1"/>
    <w:semiHidden/>
    <w:rsid w:val="00890CFA"/>
    <w:pPr>
      <w:spacing w:after="120"/>
      <w:ind w:left="283"/>
    </w:pPr>
  </w:style>
  <w:style w:type="character" w:customStyle="1" w:styleId="a5">
    <w:name w:val="Основной текст с отступом Знак"/>
    <w:basedOn w:val="a0"/>
    <w:uiPriority w:val="99"/>
    <w:semiHidden/>
    <w:rsid w:val="00890CFA"/>
    <w:rPr>
      <w:rFonts w:ascii="Calibri" w:eastAsia="Calibri" w:hAnsi="Calibri" w:cs="Times New Roman"/>
    </w:rPr>
  </w:style>
  <w:style w:type="character" w:customStyle="1" w:styleId="1">
    <w:name w:val="Основной текст с отступом Знак1"/>
    <w:link w:val="a4"/>
    <w:semiHidden/>
    <w:locked/>
    <w:rsid w:val="00890CFA"/>
    <w:rPr>
      <w:rFonts w:ascii="Calibri" w:eastAsia="Calibri" w:hAnsi="Calibri" w:cs="Times New Roman"/>
    </w:rPr>
  </w:style>
  <w:style w:type="paragraph" w:styleId="a6">
    <w:name w:val="No Spacing"/>
    <w:link w:val="a7"/>
    <w:qFormat/>
    <w:rsid w:val="00D975FD"/>
    <w:pPr>
      <w:ind w:firstLine="0"/>
      <w:jc w:val="left"/>
    </w:pPr>
    <w:rPr>
      <w:rFonts w:eastAsiaTheme="minorEastAsia"/>
      <w:lang w:eastAsia="ru-RU"/>
    </w:rPr>
  </w:style>
  <w:style w:type="character" w:customStyle="1" w:styleId="a7">
    <w:name w:val="Без интервала Знак"/>
    <w:basedOn w:val="a0"/>
    <w:link w:val="a6"/>
    <w:locked/>
    <w:rsid w:val="00D975FD"/>
    <w:rPr>
      <w:rFonts w:eastAsiaTheme="minorEastAsia"/>
      <w:lang w:eastAsia="ru-RU"/>
    </w:rPr>
  </w:style>
  <w:style w:type="paragraph" w:customStyle="1" w:styleId="msonormalcxsplast">
    <w:name w:val="msonormalcxsplast"/>
    <w:basedOn w:val="a"/>
    <w:rsid w:val="00F078E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0">
    <w:name w:val="Сетка таблицы1"/>
    <w:basedOn w:val="a1"/>
    <w:uiPriority w:val="59"/>
    <w:rsid w:val="00CA67B2"/>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CA67B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3E3BE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E3BED"/>
    <w:rPr>
      <w:rFonts w:ascii="Tahoma" w:eastAsia="Calibri" w:hAnsi="Tahoma" w:cs="Tahoma"/>
      <w:sz w:val="16"/>
      <w:szCs w:val="16"/>
    </w:rPr>
  </w:style>
  <w:style w:type="character" w:styleId="ab">
    <w:name w:val="Hyperlink"/>
    <w:basedOn w:val="a0"/>
    <w:uiPriority w:val="99"/>
    <w:unhideWhenUsed/>
    <w:rsid w:val="00CB43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637104">
      <w:bodyDiv w:val="1"/>
      <w:marLeft w:val="0"/>
      <w:marRight w:val="0"/>
      <w:marTop w:val="0"/>
      <w:marBottom w:val="0"/>
      <w:divBdr>
        <w:top w:val="none" w:sz="0" w:space="0" w:color="auto"/>
        <w:left w:val="none" w:sz="0" w:space="0" w:color="auto"/>
        <w:bottom w:val="none" w:sz="0" w:space="0" w:color="auto"/>
        <w:right w:val="none" w:sz="0" w:space="0" w:color="auto"/>
      </w:divBdr>
    </w:div>
    <w:div w:id="211620015">
      <w:bodyDiv w:val="1"/>
      <w:marLeft w:val="0"/>
      <w:marRight w:val="0"/>
      <w:marTop w:val="0"/>
      <w:marBottom w:val="0"/>
      <w:divBdr>
        <w:top w:val="none" w:sz="0" w:space="0" w:color="auto"/>
        <w:left w:val="none" w:sz="0" w:space="0" w:color="auto"/>
        <w:bottom w:val="none" w:sz="0" w:space="0" w:color="auto"/>
        <w:right w:val="none" w:sz="0" w:space="0" w:color="auto"/>
      </w:divBdr>
    </w:div>
    <w:div w:id="859122702">
      <w:bodyDiv w:val="1"/>
      <w:marLeft w:val="0"/>
      <w:marRight w:val="0"/>
      <w:marTop w:val="0"/>
      <w:marBottom w:val="0"/>
      <w:divBdr>
        <w:top w:val="none" w:sz="0" w:space="0" w:color="auto"/>
        <w:left w:val="none" w:sz="0" w:space="0" w:color="auto"/>
        <w:bottom w:val="none" w:sz="0" w:space="0" w:color="auto"/>
        <w:right w:val="none" w:sz="0" w:space="0" w:color="auto"/>
      </w:divBdr>
    </w:div>
    <w:div w:id="900866995">
      <w:bodyDiv w:val="1"/>
      <w:marLeft w:val="0"/>
      <w:marRight w:val="0"/>
      <w:marTop w:val="0"/>
      <w:marBottom w:val="0"/>
      <w:divBdr>
        <w:top w:val="none" w:sz="0" w:space="0" w:color="auto"/>
        <w:left w:val="none" w:sz="0" w:space="0" w:color="auto"/>
        <w:bottom w:val="none" w:sz="0" w:space="0" w:color="auto"/>
        <w:right w:val="none" w:sz="0" w:space="0" w:color="auto"/>
      </w:divBdr>
    </w:div>
    <w:div w:id="1343898907">
      <w:bodyDiv w:val="1"/>
      <w:marLeft w:val="0"/>
      <w:marRight w:val="0"/>
      <w:marTop w:val="0"/>
      <w:marBottom w:val="0"/>
      <w:divBdr>
        <w:top w:val="none" w:sz="0" w:space="0" w:color="auto"/>
        <w:left w:val="none" w:sz="0" w:space="0" w:color="auto"/>
        <w:bottom w:val="none" w:sz="0" w:space="0" w:color="auto"/>
        <w:right w:val="none" w:sz="0" w:space="0" w:color="auto"/>
      </w:divBdr>
    </w:div>
    <w:div w:id="1515001061">
      <w:bodyDiv w:val="1"/>
      <w:marLeft w:val="0"/>
      <w:marRight w:val="0"/>
      <w:marTop w:val="0"/>
      <w:marBottom w:val="0"/>
      <w:divBdr>
        <w:top w:val="none" w:sz="0" w:space="0" w:color="auto"/>
        <w:left w:val="none" w:sz="0" w:space="0" w:color="auto"/>
        <w:bottom w:val="none" w:sz="0" w:space="0" w:color="auto"/>
        <w:right w:val="none" w:sz="0" w:space="0" w:color="auto"/>
      </w:divBdr>
    </w:div>
    <w:div w:id="1657609591">
      <w:bodyDiv w:val="1"/>
      <w:marLeft w:val="0"/>
      <w:marRight w:val="0"/>
      <w:marTop w:val="0"/>
      <w:marBottom w:val="0"/>
      <w:divBdr>
        <w:top w:val="none" w:sz="0" w:space="0" w:color="auto"/>
        <w:left w:val="none" w:sz="0" w:space="0" w:color="auto"/>
        <w:bottom w:val="none" w:sz="0" w:space="0" w:color="auto"/>
        <w:right w:val="none" w:sz="0" w:space="0" w:color="auto"/>
      </w:divBdr>
    </w:div>
    <w:div w:id="1701474058">
      <w:bodyDiv w:val="1"/>
      <w:marLeft w:val="0"/>
      <w:marRight w:val="0"/>
      <w:marTop w:val="0"/>
      <w:marBottom w:val="0"/>
      <w:divBdr>
        <w:top w:val="none" w:sz="0" w:space="0" w:color="auto"/>
        <w:left w:val="none" w:sz="0" w:space="0" w:color="auto"/>
        <w:bottom w:val="none" w:sz="0" w:space="0" w:color="auto"/>
        <w:right w:val="none" w:sz="0" w:space="0" w:color="auto"/>
      </w:divBdr>
    </w:div>
    <w:div w:id="1749039957">
      <w:bodyDiv w:val="1"/>
      <w:marLeft w:val="0"/>
      <w:marRight w:val="0"/>
      <w:marTop w:val="0"/>
      <w:marBottom w:val="0"/>
      <w:divBdr>
        <w:top w:val="none" w:sz="0" w:space="0" w:color="auto"/>
        <w:left w:val="none" w:sz="0" w:space="0" w:color="auto"/>
        <w:bottom w:val="none" w:sz="0" w:space="0" w:color="auto"/>
        <w:right w:val="none" w:sz="0" w:space="0" w:color="auto"/>
      </w:divBdr>
    </w:div>
    <w:div w:id="2014068814">
      <w:bodyDiv w:val="1"/>
      <w:marLeft w:val="0"/>
      <w:marRight w:val="0"/>
      <w:marTop w:val="0"/>
      <w:marBottom w:val="0"/>
      <w:divBdr>
        <w:top w:val="none" w:sz="0" w:space="0" w:color="auto"/>
        <w:left w:val="none" w:sz="0" w:space="0" w:color="auto"/>
        <w:bottom w:val="none" w:sz="0" w:space="0" w:color="auto"/>
        <w:right w:val="none" w:sz="0" w:space="0" w:color="auto"/>
      </w:divBdr>
    </w:div>
    <w:div w:id="201788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image" Target="media/image2.png"/><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Office_Excel14.xlsx"/><Relationship Id="rId1" Type="http://schemas.openxmlformats.org/officeDocument/2006/relationships/image" Target="../media/image3.jpeg"/></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Office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Office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0"/>
            </a:pPr>
            <a:r>
              <a:rPr lang="ru-RU" sz="1100"/>
              <a:t>Число субъектов малого и среднего предпринимательства на 10000 человек, ед.</a:t>
            </a:r>
          </a:p>
        </c:rich>
      </c:tx>
    </c:title>
    <c:view3D>
      <c:rAngAx val="1"/>
    </c:view3D>
    <c:plotArea>
      <c:layout/>
      <c:bar3DChart>
        <c:barDir val="col"/>
        <c:grouping val="clustered"/>
        <c:ser>
          <c:idx val="0"/>
          <c:order val="0"/>
          <c:tx>
            <c:strRef>
              <c:f>Лист1!$B$1</c:f>
              <c:strCache>
                <c:ptCount val="1"/>
                <c:pt idx="0">
                  <c:v>Ряд 1</c:v>
                </c:pt>
              </c:strCache>
            </c:strRef>
          </c:tx>
          <c:spPr>
            <a:gradFill>
              <a:gsLst>
                <a:gs pos="0">
                  <a:srgbClr val="C00000"/>
                </a:gs>
                <a:gs pos="64999">
                  <a:srgbClr val="F0EBD5"/>
                </a:gs>
                <a:gs pos="100000">
                  <a:srgbClr val="C00000"/>
                </a:gs>
              </a:gsLst>
              <a:lin ang="5400000" scaled="0"/>
            </a:gradFill>
          </c:spPr>
          <c:dLbls>
            <c:dLbl>
              <c:idx val="0"/>
              <c:layout>
                <c:manualLayout>
                  <c:x val="1.6203703703703807E-2"/>
                  <c:y val="-7.5396825396826031E-2"/>
                </c:manualLayout>
              </c:layout>
              <c:showVal val="1"/>
            </c:dLbl>
            <c:dLbl>
              <c:idx val="1"/>
              <c:layout>
                <c:manualLayout>
                  <c:x val="1.3888888888889063E-2"/>
                  <c:y val="-7.1428571428571494E-2"/>
                </c:manualLayout>
              </c:layout>
              <c:showVal val="1"/>
            </c:dLbl>
            <c:dLbl>
              <c:idx val="2"/>
              <c:layout>
                <c:manualLayout>
                  <c:x val="1.8518518518518604E-2"/>
                  <c:y val="-8.3333333333333565E-2"/>
                </c:manualLayout>
              </c:layout>
              <c:showVal val="1"/>
            </c:dLbl>
            <c:txPr>
              <a:bodyPr/>
              <a:lstStyle/>
              <a:p>
                <a:pPr>
                  <a:defRPr sz="1200" b="1"/>
                </a:pPr>
                <a:endParaRPr lang="ru-RU"/>
              </a:p>
            </c:txPr>
            <c:showVal val="1"/>
          </c:dLbls>
          <c:cat>
            <c:numRef>
              <c:f>Лист1!$A$2:$A$4</c:f>
              <c:numCache>
                <c:formatCode>General</c:formatCode>
                <c:ptCount val="3"/>
                <c:pt idx="0">
                  <c:v>2015</c:v>
                </c:pt>
                <c:pt idx="1">
                  <c:v>2016</c:v>
                </c:pt>
                <c:pt idx="2">
                  <c:v>2017</c:v>
                </c:pt>
              </c:numCache>
            </c:numRef>
          </c:cat>
          <c:val>
            <c:numRef>
              <c:f>Лист1!$B$2:$B$4</c:f>
              <c:numCache>
                <c:formatCode>General</c:formatCode>
                <c:ptCount val="3"/>
                <c:pt idx="0">
                  <c:v>292</c:v>
                </c:pt>
                <c:pt idx="1">
                  <c:v>309.10000000000002</c:v>
                </c:pt>
                <c:pt idx="2">
                  <c:v>327</c:v>
                </c:pt>
              </c:numCache>
            </c:numRef>
          </c:val>
        </c:ser>
        <c:dLbls>
          <c:showVal val="1"/>
        </c:dLbls>
        <c:shape val="cylinder"/>
        <c:axId val="91309568"/>
        <c:axId val="91311104"/>
        <c:axId val="0"/>
      </c:bar3DChart>
      <c:catAx>
        <c:axId val="91309568"/>
        <c:scaling>
          <c:orientation val="minMax"/>
        </c:scaling>
        <c:axPos val="b"/>
        <c:numFmt formatCode="General" sourceLinked="1"/>
        <c:tickLblPos val="nextTo"/>
        <c:crossAx val="91311104"/>
        <c:crosses val="autoZero"/>
        <c:auto val="1"/>
        <c:lblAlgn val="ctr"/>
        <c:lblOffset val="100"/>
      </c:catAx>
      <c:valAx>
        <c:axId val="91311104"/>
        <c:scaling>
          <c:orientation val="minMax"/>
        </c:scaling>
        <c:axPos val="l"/>
        <c:numFmt formatCode="General" sourceLinked="1"/>
        <c:tickLblPos val="nextTo"/>
        <c:crossAx val="91309568"/>
        <c:crosses val="autoZero"/>
        <c:crossBetween val="between"/>
      </c:valAx>
    </c:plotArea>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0"/>
            </a:pPr>
            <a:r>
              <a:rPr lang="ru-RU" sz="1100"/>
              <a:t>Уровень фактической обеспеченности учреждениями культуры, %</a:t>
            </a:r>
          </a:p>
        </c:rich>
      </c:tx>
    </c:title>
    <c:view3D>
      <c:perspective val="30"/>
    </c:view3D>
    <c:plotArea>
      <c:layout/>
      <c:bar3DChart>
        <c:barDir val="col"/>
        <c:grouping val="standard"/>
        <c:ser>
          <c:idx val="1"/>
          <c:order val="0"/>
          <c:tx>
            <c:strRef>
              <c:f>Лист1!$B$1</c:f>
              <c:strCache>
                <c:ptCount val="1"/>
                <c:pt idx="0">
                  <c:v>Библиотеки</c:v>
                </c:pt>
              </c:strCache>
            </c:strRef>
          </c:tx>
          <c:spPr>
            <a:solidFill>
              <a:srgbClr val="FFFF00"/>
            </a:solidFill>
          </c:spPr>
          <c:dLbls>
            <c:dLbl>
              <c:idx val="0"/>
              <c:layout>
                <c:manualLayout>
                  <c:x val="1.1574074074074073E-2"/>
                  <c:y val="-1.1904761904761921E-2"/>
                </c:manualLayout>
              </c:layout>
              <c:showVal val="1"/>
            </c:dLbl>
            <c:dLbl>
              <c:idx val="1"/>
              <c:layout>
                <c:manualLayout>
                  <c:x val="6.9444444444444536E-3"/>
                  <c:y val="-1.1904761904761921E-2"/>
                </c:manualLayout>
              </c:layout>
              <c:showVal val="1"/>
            </c:dLbl>
            <c:dLbl>
              <c:idx val="2"/>
              <c:layout>
                <c:manualLayout>
                  <c:x val="-4.6296296296296389E-3"/>
                  <c:y val="-1.5873015873015879E-2"/>
                </c:manualLayout>
              </c:layout>
              <c:showVal val="1"/>
            </c:dLbl>
            <c:txPr>
              <a:bodyPr/>
              <a:lstStyle/>
              <a:p>
                <a:pPr>
                  <a:defRPr b="1"/>
                </a:pPr>
                <a:endParaRPr lang="ru-RU"/>
              </a:p>
            </c:txPr>
            <c:showVal val="1"/>
          </c:dLbls>
          <c:cat>
            <c:numRef>
              <c:f>Лист1!$A$2:$A$4</c:f>
              <c:numCache>
                <c:formatCode>General</c:formatCode>
                <c:ptCount val="3"/>
                <c:pt idx="0">
                  <c:v>2015</c:v>
                </c:pt>
                <c:pt idx="1">
                  <c:v>2016</c:v>
                </c:pt>
                <c:pt idx="2">
                  <c:v>2017</c:v>
                </c:pt>
              </c:numCache>
            </c:numRef>
          </c:cat>
          <c:val>
            <c:numRef>
              <c:f>Лист1!$B$2:$B$4</c:f>
              <c:numCache>
                <c:formatCode>General</c:formatCode>
                <c:ptCount val="3"/>
                <c:pt idx="0">
                  <c:v>68.3</c:v>
                </c:pt>
                <c:pt idx="1">
                  <c:v>72.2</c:v>
                </c:pt>
                <c:pt idx="2">
                  <c:v>72.2</c:v>
                </c:pt>
              </c:numCache>
            </c:numRef>
          </c:val>
        </c:ser>
        <c:ser>
          <c:idx val="2"/>
          <c:order val="1"/>
          <c:tx>
            <c:strRef>
              <c:f>Лист1!$C$1</c:f>
              <c:strCache>
                <c:ptCount val="1"/>
                <c:pt idx="0">
                  <c:v>Клубы</c:v>
                </c:pt>
              </c:strCache>
            </c:strRef>
          </c:tx>
          <c:spPr>
            <a:solidFill>
              <a:schemeClr val="tx2">
                <a:lumMod val="60000"/>
                <a:lumOff val="40000"/>
              </a:schemeClr>
            </a:solidFill>
          </c:spPr>
          <c:dLbls>
            <c:txPr>
              <a:bodyPr/>
              <a:lstStyle/>
              <a:p>
                <a:pPr>
                  <a:defRPr b="1"/>
                </a:pPr>
                <a:endParaRPr lang="ru-RU"/>
              </a:p>
            </c:txPr>
            <c:showVal val="1"/>
          </c:dLbls>
          <c:cat>
            <c:numRef>
              <c:f>Лист1!$A$2:$A$4</c:f>
              <c:numCache>
                <c:formatCode>General</c:formatCode>
                <c:ptCount val="3"/>
                <c:pt idx="0">
                  <c:v>2015</c:v>
                </c:pt>
                <c:pt idx="1">
                  <c:v>2016</c:v>
                </c:pt>
                <c:pt idx="2">
                  <c:v>2017</c:v>
                </c:pt>
              </c:numCache>
            </c:numRef>
          </c:cat>
          <c:val>
            <c:numRef>
              <c:f>Лист1!$C$2:$C$4</c:f>
              <c:numCache>
                <c:formatCode>General</c:formatCode>
                <c:ptCount val="3"/>
                <c:pt idx="0">
                  <c:v>77.8</c:v>
                </c:pt>
                <c:pt idx="1">
                  <c:v>77.8</c:v>
                </c:pt>
                <c:pt idx="2">
                  <c:v>79.8</c:v>
                </c:pt>
              </c:numCache>
            </c:numRef>
          </c:val>
        </c:ser>
        <c:dLbls>
          <c:showVal val="1"/>
        </c:dLbls>
        <c:shape val="cylinder"/>
        <c:axId val="96873856"/>
        <c:axId val="96883840"/>
        <c:axId val="96740672"/>
      </c:bar3DChart>
      <c:catAx>
        <c:axId val="96873856"/>
        <c:scaling>
          <c:orientation val="minMax"/>
        </c:scaling>
        <c:axPos val="b"/>
        <c:numFmt formatCode="General" sourceLinked="1"/>
        <c:tickLblPos val="nextTo"/>
        <c:crossAx val="96883840"/>
        <c:crosses val="autoZero"/>
        <c:auto val="1"/>
        <c:lblAlgn val="ctr"/>
        <c:lblOffset val="100"/>
      </c:catAx>
      <c:valAx>
        <c:axId val="96883840"/>
        <c:scaling>
          <c:orientation val="minMax"/>
        </c:scaling>
        <c:axPos val="l"/>
        <c:numFmt formatCode="General" sourceLinked="1"/>
        <c:tickLblPos val="nextTo"/>
        <c:crossAx val="96873856"/>
        <c:crosses val="autoZero"/>
        <c:crossBetween val="between"/>
      </c:valAx>
      <c:serAx>
        <c:axId val="96740672"/>
        <c:scaling>
          <c:orientation val="minMax"/>
        </c:scaling>
        <c:axPos val="b"/>
        <c:tickLblPos val="nextTo"/>
        <c:txPr>
          <a:bodyPr/>
          <a:lstStyle/>
          <a:p>
            <a:pPr>
              <a:defRPr b="1"/>
            </a:pPr>
            <a:endParaRPr lang="ru-RU"/>
          </a:p>
        </c:txPr>
        <c:crossAx val="96883840"/>
        <c:crosses val="autoZero"/>
      </c:serAx>
    </c:plotArea>
    <c:plotVisOnly val="1"/>
    <c:dispBlanksAs val="gap"/>
  </c:chart>
  <c:spPr>
    <a:noFill/>
    <a:ln>
      <a:noFill/>
    </a:ln>
  </c:spPr>
  <c:txPr>
    <a:bodyPr/>
    <a:lstStyle/>
    <a:p>
      <a:pPr>
        <a:defRPr sz="1200">
          <a:latin typeface="Times New Roman" pitchFamily="18" charset="0"/>
          <a:cs typeface="Times New Roman" pitchFamily="18" charset="0"/>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0"/>
            </a:pPr>
            <a:r>
              <a:rPr lang="ru-RU" sz="1100"/>
              <a:t>Доля населения систематически занимающегося физической культурой и спортом, %</a:t>
            </a:r>
          </a:p>
        </c:rich>
      </c:tx>
    </c:title>
    <c:view3D>
      <c:rotX val="10"/>
      <c:rotY val="40"/>
      <c:rAngAx val="1"/>
    </c:view3D>
    <c:plotArea>
      <c:layout/>
      <c:bar3DChart>
        <c:barDir val="col"/>
        <c:grouping val="stacked"/>
        <c:varyColors val="1"/>
        <c:ser>
          <c:idx val="0"/>
          <c:order val="0"/>
          <c:tx>
            <c:strRef>
              <c:f>Лист1!$B$1</c:f>
              <c:strCache>
                <c:ptCount val="1"/>
                <c:pt idx="0">
                  <c:v>Ряд 1</c:v>
                </c:pt>
              </c:strCache>
            </c:strRef>
          </c:tx>
          <c:invertIfNegative val="1"/>
          <c:dLbls>
            <c:dLbl>
              <c:idx val="0"/>
              <c:layout>
                <c:manualLayout>
                  <c:x val="3.0092592592592591E-2"/>
                  <c:y val="-0.23809523809523925"/>
                </c:manualLayout>
              </c:layout>
              <c:showVal val="1"/>
            </c:dLbl>
            <c:dLbl>
              <c:idx val="1"/>
              <c:layout>
                <c:manualLayout>
                  <c:x val="3.0092592592592591E-2"/>
                  <c:y val="-0.33333333333333331"/>
                </c:manualLayout>
              </c:layout>
              <c:showVal val="1"/>
            </c:dLbl>
            <c:dLbl>
              <c:idx val="2"/>
              <c:layout>
                <c:manualLayout>
                  <c:x val="3.2407407407407621E-2"/>
                  <c:y val="-0.32539682539682818"/>
                </c:manualLayout>
              </c:layout>
              <c:showVal val="1"/>
            </c:dLbl>
            <c:txPr>
              <a:bodyPr/>
              <a:lstStyle/>
              <a:p>
                <a:pPr>
                  <a:defRPr sz="1200" b="1"/>
                </a:pPr>
                <a:endParaRPr lang="ru-RU"/>
              </a:p>
            </c:txPr>
            <c:showVal val="1"/>
          </c:dLbls>
          <c:cat>
            <c:numRef>
              <c:f>Лист1!$A$2:$A$4</c:f>
              <c:numCache>
                <c:formatCode>General</c:formatCode>
                <c:ptCount val="3"/>
                <c:pt idx="0">
                  <c:v>2015</c:v>
                </c:pt>
                <c:pt idx="1">
                  <c:v>2016</c:v>
                </c:pt>
                <c:pt idx="2">
                  <c:v>2017</c:v>
                </c:pt>
              </c:numCache>
            </c:numRef>
          </c:cat>
          <c:val>
            <c:numRef>
              <c:f>Лист1!$B$2:$B$4</c:f>
              <c:numCache>
                <c:formatCode>General</c:formatCode>
                <c:ptCount val="3"/>
                <c:pt idx="0">
                  <c:v>28.34</c:v>
                </c:pt>
                <c:pt idx="1">
                  <c:v>30.8</c:v>
                </c:pt>
                <c:pt idx="2">
                  <c:v>35.200000000000003</c:v>
                </c:pt>
              </c:numCache>
            </c:numRef>
          </c:val>
        </c:ser>
        <c:dLbls>
          <c:showVal val="1"/>
        </c:dLbls>
        <c:shape val="pyramid"/>
        <c:axId val="96839936"/>
        <c:axId val="96931840"/>
        <c:axId val="0"/>
      </c:bar3DChart>
      <c:catAx>
        <c:axId val="96839936"/>
        <c:scaling>
          <c:orientation val="minMax"/>
        </c:scaling>
        <c:axPos val="b"/>
        <c:numFmt formatCode="General" sourceLinked="1"/>
        <c:tickLblPos val="nextTo"/>
        <c:crossAx val="96931840"/>
        <c:crosses val="autoZero"/>
        <c:auto val="1"/>
        <c:lblAlgn val="ctr"/>
        <c:lblOffset val="100"/>
      </c:catAx>
      <c:valAx>
        <c:axId val="96931840"/>
        <c:scaling>
          <c:orientation val="minMax"/>
        </c:scaling>
        <c:axPos val="l"/>
        <c:numFmt formatCode="General" sourceLinked="1"/>
        <c:tickLblPos val="nextTo"/>
        <c:crossAx val="96839936"/>
        <c:crosses val="autoZero"/>
        <c:crossBetween val="between"/>
      </c:valAx>
      <c:spPr>
        <a:ln>
          <a:noFill/>
        </a:ln>
      </c:spPr>
    </c:plotArea>
    <c:plotVisOnly val="1"/>
    <c:dispBlanksAs val="gap"/>
  </c:chart>
  <c:spPr>
    <a:ln>
      <a:noFill/>
    </a:ln>
    <a:scene3d>
      <a:camera prst="orthographicFront"/>
      <a:lightRig rig="threePt" dir="t"/>
    </a:scene3d>
    <a:sp3d>
      <a:bevelT w="0" h="165100"/>
      <a:bevelB w="88900" h="120650"/>
    </a:sp3d>
  </c:spPr>
  <c:txPr>
    <a:bodyPr/>
    <a:lstStyle/>
    <a:p>
      <a:pPr>
        <a:defRPr>
          <a:latin typeface="Times New Roman" pitchFamily="18" charset="0"/>
          <a:cs typeface="Times New Roman" pitchFamily="18" charset="0"/>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0"/>
            </a:pPr>
            <a:r>
              <a:rPr lang="ru-RU" sz="1100"/>
              <a:t>Доля обучающихся, систематически занимающихся физической культурой, %</a:t>
            </a:r>
          </a:p>
        </c:rich>
      </c:tx>
    </c:title>
    <c:view3D>
      <c:rotX val="10"/>
      <c:rotY val="40"/>
      <c:rAngAx val="1"/>
    </c:view3D>
    <c:plotArea>
      <c:layout/>
      <c:bar3DChart>
        <c:barDir val="col"/>
        <c:grouping val="stacked"/>
        <c:varyColors val="1"/>
        <c:ser>
          <c:idx val="0"/>
          <c:order val="0"/>
          <c:tx>
            <c:strRef>
              <c:f>Лист1!$B$1</c:f>
              <c:strCache>
                <c:ptCount val="1"/>
                <c:pt idx="0">
                  <c:v>Ряд 1</c:v>
                </c:pt>
              </c:strCache>
            </c:strRef>
          </c:tx>
          <c:dLbls>
            <c:dLbl>
              <c:idx val="0"/>
              <c:layout>
                <c:manualLayout>
                  <c:x val="2.7777777777777891E-2"/>
                  <c:y val="-0.27777777777777846"/>
                </c:manualLayout>
              </c:layout>
              <c:showVal val="1"/>
            </c:dLbl>
            <c:dLbl>
              <c:idx val="1"/>
              <c:layout>
                <c:manualLayout>
                  <c:x val="3.0092592592592591E-2"/>
                  <c:y val="-0.30158730158730318"/>
                </c:manualLayout>
              </c:layout>
              <c:showVal val="1"/>
            </c:dLbl>
            <c:dLbl>
              <c:idx val="2"/>
              <c:layout>
                <c:manualLayout>
                  <c:x val="3.2407407407407621E-2"/>
                  <c:y val="-0.35317460317460608"/>
                </c:manualLayout>
              </c:layout>
              <c:showVal val="1"/>
            </c:dLbl>
            <c:txPr>
              <a:bodyPr/>
              <a:lstStyle/>
              <a:p>
                <a:pPr>
                  <a:defRPr sz="1200" b="1"/>
                </a:pPr>
                <a:endParaRPr lang="ru-RU"/>
              </a:p>
            </c:txPr>
            <c:showVal val="1"/>
          </c:dLbls>
          <c:cat>
            <c:numRef>
              <c:f>Лист1!$A$2:$A$4</c:f>
              <c:numCache>
                <c:formatCode>General</c:formatCode>
                <c:ptCount val="3"/>
                <c:pt idx="0">
                  <c:v>2015</c:v>
                </c:pt>
                <c:pt idx="1">
                  <c:v>2016</c:v>
                </c:pt>
                <c:pt idx="2">
                  <c:v>2017</c:v>
                </c:pt>
              </c:numCache>
            </c:numRef>
          </c:cat>
          <c:val>
            <c:numRef>
              <c:f>Лист1!$B$2:$B$4</c:f>
              <c:numCache>
                <c:formatCode>General</c:formatCode>
                <c:ptCount val="3"/>
                <c:pt idx="0">
                  <c:v>65.95</c:v>
                </c:pt>
                <c:pt idx="1">
                  <c:v>68</c:v>
                </c:pt>
                <c:pt idx="2">
                  <c:v>81.599999999999994</c:v>
                </c:pt>
              </c:numCache>
            </c:numRef>
          </c:val>
        </c:ser>
        <c:dLbls>
          <c:showVal val="1"/>
        </c:dLbls>
        <c:shape val="pyramid"/>
        <c:axId val="96948224"/>
        <c:axId val="96949760"/>
        <c:axId val="0"/>
      </c:bar3DChart>
      <c:catAx>
        <c:axId val="96948224"/>
        <c:scaling>
          <c:orientation val="minMax"/>
        </c:scaling>
        <c:axPos val="b"/>
        <c:numFmt formatCode="General" sourceLinked="1"/>
        <c:tickLblPos val="nextTo"/>
        <c:crossAx val="96949760"/>
        <c:crosses val="autoZero"/>
        <c:auto val="1"/>
        <c:lblAlgn val="ctr"/>
        <c:lblOffset val="100"/>
      </c:catAx>
      <c:valAx>
        <c:axId val="96949760"/>
        <c:scaling>
          <c:orientation val="minMax"/>
        </c:scaling>
        <c:axPos val="l"/>
        <c:numFmt formatCode="General" sourceLinked="1"/>
        <c:tickLblPos val="nextTo"/>
        <c:crossAx val="96948224"/>
        <c:crosses val="autoZero"/>
        <c:crossBetween val="between"/>
      </c:valAx>
      <c:spPr>
        <a:ln>
          <a:noFill/>
        </a:ln>
      </c:spPr>
    </c:plotArea>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style val="31"/>
  <c:chart>
    <c:title>
      <c:tx>
        <c:rich>
          <a:bodyPr/>
          <a:lstStyle/>
          <a:p>
            <a:pPr>
              <a:defRPr sz="1100"/>
            </a:pPr>
            <a:r>
              <a:rPr lang="ru-RU" sz="1100" b="1" i="0" u="none" strike="noStrike" baseline="0"/>
              <a:t>Общая площадь жилых помещений, приходящихся на 1 жителя, кв.м.</a:t>
            </a:r>
            <a:endParaRPr lang="ru-RU" sz="1100"/>
          </a:p>
        </c:rich>
      </c:tx>
    </c:title>
    <c:view3D>
      <c:rAngAx val="1"/>
    </c:view3D>
    <c:plotArea>
      <c:layout/>
      <c:bar3DChart>
        <c:barDir val="col"/>
        <c:grouping val="clustered"/>
        <c:ser>
          <c:idx val="0"/>
          <c:order val="0"/>
          <c:tx>
            <c:strRef>
              <c:f>Лист1!$B$1</c:f>
              <c:strCache>
                <c:ptCount val="1"/>
                <c:pt idx="0">
                  <c:v>Ряд 1</c:v>
                </c:pt>
              </c:strCache>
            </c:strRef>
          </c:tx>
          <c:dPt>
            <c:idx val="1"/>
            <c:spPr>
              <a:solidFill>
                <a:srgbClr val="1F497D">
                  <a:lumMod val="60000"/>
                  <a:lumOff val="40000"/>
                </a:srgbClr>
              </a:solidFill>
            </c:spPr>
          </c:dPt>
          <c:dPt>
            <c:idx val="2"/>
            <c:spPr>
              <a:solidFill>
                <a:schemeClr val="accent5">
                  <a:lumMod val="60000"/>
                  <a:lumOff val="40000"/>
                </a:schemeClr>
              </a:solidFill>
            </c:spPr>
          </c:dPt>
          <c:dLbls>
            <c:dLbl>
              <c:idx val="0"/>
              <c:layout>
                <c:manualLayout>
                  <c:x val="2.3148148148148147E-2"/>
                  <c:y val="-3.5714285714285712E-2"/>
                </c:manualLayout>
              </c:layout>
              <c:showVal val="1"/>
            </c:dLbl>
            <c:dLbl>
              <c:idx val="1"/>
              <c:layout>
                <c:manualLayout>
                  <c:x val="1.3888888888889006E-2"/>
                  <c:y val="-3.9682539682539646E-2"/>
                </c:manualLayout>
              </c:layout>
              <c:showVal val="1"/>
            </c:dLbl>
            <c:dLbl>
              <c:idx val="2"/>
              <c:layout>
                <c:manualLayout>
                  <c:x val="2.0833333333333492E-2"/>
                  <c:y val="-4.3650793650793579E-2"/>
                </c:manualLayout>
              </c:layout>
              <c:showVal val="1"/>
            </c:dLbl>
            <c:txPr>
              <a:bodyPr/>
              <a:lstStyle/>
              <a:p>
                <a:pPr>
                  <a:defRPr sz="1200" b="1"/>
                </a:pPr>
                <a:endParaRPr lang="ru-RU"/>
              </a:p>
            </c:txPr>
            <c:showVal val="1"/>
          </c:dLbls>
          <c:cat>
            <c:numRef>
              <c:f>Лист1!$A$2:$A$4</c:f>
              <c:numCache>
                <c:formatCode>General</c:formatCode>
                <c:ptCount val="3"/>
                <c:pt idx="0">
                  <c:v>2015</c:v>
                </c:pt>
                <c:pt idx="1">
                  <c:v>2016</c:v>
                </c:pt>
                <c:pt idx="2">
                  <c:v>2017</c:v>
                </c:pt>
              </c:numCache>
            </c:numRef>
          </c:cat>
          <c:val>
            <c:numRef>
              <c:f>Лист1!$B$2:$B$4</c:f>
              <c:numCache>
                <c:formatCode>General</c:formatCode>
                <c:ptCount val="3"/>
                <c:pt idx="0">
                  <c:v>30.1</c:v>
                </c:pt>
                <c:pt idx="1">
                  <c:v>31.3</c:v>
                </c:pt>
                <c:pt idx="2">
                  <c:v>32.15</c:v>
                </c:pt>
              </c:numCache>
            </c:numRef>
          </c:val>
        </c:ser>
        <c:dLbls>
          <c:showVal val="1"/>
        </c:dLbls>
        <c:shape val="cylinder"/>
        <c:axId val="100153600"/>
        <c:axId val="100171776"/>
        <c:axId val="0"/>
      </c:bar3DChart>
      <c:catAx>
        <c:axId val="100153600"/>
        <c:scaling>
          <c:orientation val="minMax"/>
        </c:scaling>
        <c:axPos val="b"/>
        <c:numFmt formatCode="General" sourceLinked="1"/>
        <c:tickLblPos val="nextTo"/>
        <c:crossAx val="100171776"/>
        <c:crosses val="autoZero"/>
        <c:auto val="1"/>
        <c:lblAlgn val="ctr"/>
        <c:lblOffset val="100"/>
      </c:catAx>
      <c:valAx>
        <c:axId val="100171776"/>
        <c:scaling>
          <c:orientation val="minMax"/>
        </c:scaling>
        <c:axPos val="l"/>
        <c:numFmt formatCode="General" sourceLinked="1"/>
        <c:tickLblPos val="nextTo"/>
        <c:crossAx val="100153600"/>
        <c:crosses val="autoZero"/>
        <c:crossBetween val="between"/>
      </c:valAx>
    </c:plotArea>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0"/>
            </a:pPr>
            <a:r>
              <a:rPr lang="ru-RU" sz="1100"/>
              <a:t>Доля многоквартирных домов, в которых выбрали один из способов управления многоквартирными домами, %</a:t>
            </a:r>
          </a:p>
        </c:rich>
      </c:tx>
    </c:title>
    <c:view3D>
      <c:perspective val="30"/>
    </c:view3D>
    <c:floor>
      <c:spPr>
        <a:noFill/>
        <a:ln w="0">
          <a:solidFill>
            <a:schemeClr val="tx1"/>
          </a:solidFill>
        </a:ln>
      </c:spPr>
    </c:floor>
    <c:plotArea>
      <c:layout/>
      <c:bar3DChart>
        <c:barDir val="col"/>
        <c:grouping val="standard"/>
        <c:ser>
          <c:idx val="0"/>
          <c:order val="0"/>
          <c:tx>
            <c:strRef>
              <c:f>Лист1!$B$1</c:f>
              <c:strCache>
                <c:ptCount val="1"/>
                <c:pt idx="0">
                  <c:v>Ряд 1</c:v>
                </c:pt>
              </c:strCache>
            </c:strRef>
          </c:tx>
          <c:spPr>
            <a:blipFill>
              <a:blip xmlns:r="http://schemas.openxmlformats.org/officeDocument/2006/relationships" r:embed="rId1"/>
              <a:tile tx="0" ty="0" sx="100000" sy="100000" flip="none" algn="tl"/>
            </a:blipFill>
          </c:spPr>
          <c:dLbls>
            <c:dLbl>
              <c:idx val="0"/>
              <c:layout>
                <c:manualLayout>
                  <c:x val="2.3148148148148147E-3"/>
                  <c:y val="-3.9682539682539802E-3"/>
                </c:manualLayout>
              </c:layout>
              <c:showVal val="1"/>
            </c:dLbl>
            <c:txPr>
              <a:bodyPr/>
              <a:lstStyle/>
              <a:p>
                <a:pPr>
                  <a:defRPr sz="1200" b="1"/>
                </a:pPr>
                <a:endParaRPr lang="ru-RU"/>
              </a:p>
            </c:txPr>
            <c:showVal val="1"/>
          </c:dLbls>
          <c:cat>
            <c:numRef>
              <c:f>Лист1!$A$2:$A$4</c:f>
              <c:numCache>
                <c:formatCode>General</c:formatCode>
                <c:ptCount val="3"/>
                <c:pt idx="0">
                  <c:v>2015</c:v>
                </c:pt>
                <c:pt idx="1">
                  <c:v>2016</c:v>
                </c:pt>
                <c:pt idx="2">
                  <c:v>2017</c:v>
                </c:pt>
              </c:numCache>
            </c:numRef>
          </c:cat>
          <c:val>
            <c:numRef>
              <c:f>Лист1!$B$2:$B$4</c:f>
              <c:numCache>
                <c:formatCode>General</c:formatCode>
                <c:ptCount val="3"/>
                <c:pt idx="0">
                  <c:v>80</c:v>
                </c:pt>
                <c:pt idx="1">
                  <c:v>100</c:v>
                </c:pt>
                <c:pt idx="2">
                  <c:v>100</c:v>
                </c:pt>
              </c:numCache>
            </c:numRef>
          </c:val>
        </c:ser>
        <c:dLbls>
          <c:showVal val="1"/>
        </c:dLbls>
        <c:shape val="cone"/>
        <c:axId val="100200448"/>
        <c:axId val="100201984"/>
        <c:axId val="91374464"/>
      </c:bar3DChart>
      <c:catAx>
        <c:axId val="100200448"/>
        <c:scaling>
          <c:orientation val="minMax"/>
        </c:scaling>
        <c:axPos val="b"/>
        <c:numFmt formatCode="General" sourceLinked="1"/>
        <c:tickLblPos val="nextTo"/>
        <c:txPr>
          <a:bodyPr/>
          <a:lstStyle/>
          <a:p>
            <a:pPr>
              <a:defRPr b="1"/>
            </a:pPr>
            <a:endParaRPr lang="ru-RU"/>
          </a:p>
        </c:txPr>
        <c:crossAx val="100201984"/>
        <c:crosses val="autoZero"/>
        <c:auto val="1"/>
        <c:lblAlgn val="ctr"/>
        <c:lblOffset val="100"/>
      </c:catAx>
      <c:valAx>
        <c:axId val="100201984"/>
        <c:scaling>
          <c:orientation val="minMax"/>
        </c:scaling>
        <c:delete val="1"/>
        <c:axPos val="l"/>
        <c:numFmt formatCode="General" sourceLinked="1"/>
        <c:tickLblPos val="none"/>
        <c:crossAx val="100200448"/>
        <c:crosses val="autoZero"/>
        <c:crossBetween val="between"/>
      </c:valAx>
      <c:serAx>
        <c:axId val="91374464"/>
        <c:scaling>
          <c:orientation val="minMax"/>
        </c:scaling>
        <c:delete val="1"/>
        <c:axPos val="b"/>
        <c:tickLblPos val="none"/>
        <c:crossAx val="100201984"/>
        <c:crosses val="autoZero"/>
      </c:serAx>
    </c:plotArea>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style val="20"/>
  <c:chart>
    <c:title>
      <c:tx>
        <c:rich>
          <a:bodyPr/>
          <a:lstStyle/>
          <a:p>
            <a:pPr>
              <a:defRPr sz="1100">
                <a:solidFill>
                  <a:sysClr val="windowText" lastClr="000000"/>
                </a:solidFill>
              </a:defRPr>
            </a:pPr>
            <a:r>
              <a:rPr lang="ru-RU" sz="1100">
                <a:solidFill>
                  <a:sysClr val="windowText" lastClr="000000"/>
                </a:solidFill>
              </a:rPr>
              <a:t>Доля многоквартирных домов, расположенных на земельных участках, в отношении которых осуществлен государственный кадастровый учет, %</a:t>
            </a:r>
          </a:p>
        </c:rich>
      </c:tx>
    </c:title>
    <c:plotArea>
      <c:layout/>
      <c:barChart>
        <c:barDir val="col"/>
        <c:grouping val="clustered"/>
        <c:ser>
          <c:idx val="0"/>
          <c:order val="0"/>
          <c:tx>
            <c:strRef>
              <c:f>Лист1!$B$1</c:f>
              <c:strCache>
                <c:ptCount val="1"/>
                <c:pt idx="0">
                  <c:v>Ряд 1</c:v>
                </c:pt>
              </c:strCache>
            </c:strRef>
          </c:tx>
          <c:dLbls>
            <c:txPr>
              <a:bodyPr/>
              <a:lstStyle/>
              <a:p>
                <a:pPr>
                  <a:defRPr sz="1100" b="1"/>
                </a:pPr>
                <a:endParaRPr lang="ru-RU"/>
              </a:p>
            </c:txPr>
            <c:dLblPos val="outEnd"/>
            <c:showVal val="1"/>
          </c:dLbls>
          <c:cat>
            <c:numRef>
              <c:f>Лист1!$A$2:$A$4</c:f>
              <c:numCache>
                <c:formatCode>General</c:formatCode>
                <c:ptCount val="3"/>
                <c:pt idx="0">
                  <c:v>2015</c:v>
                </c:pt>
                <c:pt idx="1">
                  <c:v>2016</c:v>
                </c:pt>
                <c:pt idx="2">
                  <c:v>2017</c:v>
                </c:pt>
              </c:numCache>
            </c:numRef>
          </c:cat>
          <c:val>
            <c:numRef>
              <c:f>Лист1!$B$2:$B$4</c:f>
              <c:numCache>
                <c:formatCode>General</c:formatCode>
                <c:ptCount val="3"/>
                <c:pt idx="0">
                  <c:v>47</c:v>
                </c:pt>
                <c:pt idx="1">
                  <c:v>49</c:v>
                </c:pt>
                <c:pt idx="2">
                  <c:v>50.2</c:v>
                </c:pt>
              </c:numCache>
            </c:numRef>
          </c:val>
        </c:ser>
        <c:dLbls>
          <c:showVal val="1"/>
        </c:dLbls>
        <c:axId val="90601728"/>
        <c:axId val="90607616"/>
      </c:barChart>
      <c:catAx>
        <c:axId val="90601728"/>
        <c:scaling>
          <c:orientation val="minMax"/>
        </c:scaling>
        <c:axPos val="b"/>
        <c:numFmt formatCode="General" sourceLinked="1"/>
        <c:tickLblPos val="nextTo"/>
        <c:txPr>
          <a:bodyPr/>
          <a:lstStyle/>
          <a:p>
            <a:pPr>
              <a:defRPr b="1"/>
            </a:pPr>
            <a:endParaRPr lang="ru-RU"/>
          </a:p>
        </c:txPr>
        <c:crossAx val="90607616"/>
        <c:crosses val="autoZero"/>
        <c:auto val="1"/>
        <c:lblAlgn val="ctr"/>
        <c:lblOffset val="100"/>
      </c:catAx>
      <c:valAx>
        <c:axId val="90607616"/>
        <c:scaling>
          <c:orientation val="minMax"/>
        </c:scaling>
        <c:axPos val="l"/>
        <c:numFmt formatCode="General" sourceLinked="1"/>
        <c:tickLblPos val="nextTo"/>
        <c:crossAx val="90601728"/>
        <c:crosses val="autoZero"/>
        <c:crossBetween val="between"/>
      </c:valAx>
    </c:plotArea>
    <c:plotVisOnly val="1"/>
    <c:dispBlanksAs val="gap"/>
  </c:chart>
  <c:spPr>
    <a:noFill/>
    <a:ln w="0" cmpd="sng">
      <a:noFill/>
    </a:ln>
    <a:effectLst>
      <a:innerShdw blurRad="114300">
        <a:prstClr val="black">
          <a:alpha val="4000"/>
        </a:prstClr>
      </a:innerShdw>
    </a:effectLst>
    <a:scene3d>
      <a:camera prst="orthographicFront"/>
      <a:lightRig rig="threePt" dir="t"/>
    </a:scene3d>
    <a:sp3d prstMaterial="matte"/>
  </c:spPr>
  <c:txPr>
    <a:bodyPr/>
    <a:lstStyle/>
    <a:p>
      <a:pPr>
        <a:defRPr>
          <a:latin typeface="Times New Roman" pitchFamily="18" charset="0"/>
          <a:cs typeface="Times New Roman" pitchFamily="18" charset="0"/>
        </a:defRPr>
      </a:pPr>
      <a:endParaRPr lang="ru-RU"/>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0"/>
            </a:pPr>
            <a:r>
              <a:rPr lang="ru-RU" sz="1100"/>
              <a:t>Доля налоговых и неналоговых доходов местного бюджета, %</a:t>
            </a:r>
          </a:p>
        </c:rich>
      </c:tx>
    </c:title>
    <c:view3D>
      <c:perspective val="30"/>
    </c:view3D>
    <c:plotArea>
      <c:layout>
        <c:manualLayout>
          <c:layoutTarget val="inner"/>
          <c:xMode val="edge"/>
          <c:yMode val="edge"/>
          <c:x val="0.10238715032415795"/>
          <c:y val="0.28594789464546538"/>
          <c:w val="0.82984580052494095"/>
          <c:h val="0.50912961411738755"/>
        </c:manualLayout>
      </c:layout>
      <c:bar3DChart>
        <c:barDir val="col"/>
        <c:grouping val="standard"/>
        <c:varyColors val="1"/>
        <c:ser>
          <c:idx val="0"/>
          <c:order val="0"/>
          <c:tx>
            <c:strRef>
              <c:f>Лист1!$B$1</c:f>
              <c:strCache>
                <c:ptCount val="1"/>
                <c:pt idx="0">
                  <c:v>Ряд 1</c:v>
                </c:pt>
              </c:strCache>
            </c:strRef>
          </c:tx>
          <c:spPr>
            <a:gradFill>
              <a:gsLst>
                <a:gs pos="0">
                  <a:srgbClr val="8064A2">
                    <a:lumMod val="40000"/>
                    <a:lumOff val="60000"/>
                  </a:srgbClr>
                </a:gs>
                <a:gs pos="50000">
                  <a:schemeClr val="bg1"/>
                </a:gs>
                <a:gs pos="100000">
                  <a:srgbClr val="8064A2">
                    <a:lumMod val="75000"/>
                  </a:srgbClr>
                </a:gs>
              </a:gsLst>
              <a:lin ang="5400000" scaled="0"/>
            </a:gradFill>
          </c:spPr>
          <c:invertIfNegative val="1"/>
          <c:dLbls>
            <c:dLbl>
              <c:idx val="0"/>
              <c:layout>
                <c:manualLayout>
                  <c:x val="2.0833333333333412E-2"/>
                  <c:y val="-3.968253968253968E-2"/>
                </c:manualLayout>
              </c:layout>
              <c:showVal val="1"/>
            </c:dLbl>
            <c:dLbl>
              <c:idx val="1"/>
              <c:layout>
                <c:manualLayout>
                  <c:x val="2.0833333333333412E-2"/>
                  <c:y val="-5.5555555555555455E-2"/>
                </c:manualLayout>
              </c:layout>
              <c:showVal val="1"/>
            </c:dLbl>
            <c:dLbl>
              <c:idx val="2"/>
              <c:layout>
                <c:manualLayout>
                  <c:x val="1.6203703703703623E-2"/>
                  <c:y val="-5.5555555555555455E-2"/>
                </c:manualLayout>
              </c:layout>
              <c:showVal val="1"/>
            </c:dLbl>
            <c:txPr>
              <a:bodyPr/>
              <a:lstStyle/>
              <a:p>
                <a:pPr>
                  <a:defRPr sz="1200" b="1"/>
                </a:pPr>
                <a:endParaRPr lang="ru-RU"/>
              </a:p>
            </c:txPr>
            <c:showVal val="1"/>
          </c:dLbls>
          <c:cat>
            <c:numRef>
              <c:f>Лист1!$A$2:$A$4</c:f>
              <c:numCache>
                <c:formatCode>General</c:formatCode>
                <c:ptCount val="3"/>
                <c:pt idx="0">
                  <c:v>2015</c:v>
                </c:pt>
                <c:pt idx="1">
                  <c:v>2016</c:v>
                </c:pt>
                <c:pt idx="2">
                  <c:v>2017</c:v>
                </c:pt>
              </c:numCache>
            </c:numRef>
          </c:cat>
          <c:val>
            <c:numRef>
              <c:f>Лист1!$B$2:$B$4</c:f>
              <c:numCache>
                <c:formatCode>General</c:formatCode>
                <c:ptCount val="3"/>
                <c:pt idx="0">
                  <c:v>26.2</c:v>
                </c:pt>
                <c:pt idx="1">
                  <c:v>32.1</c:v>
                </c:pt>
                <c:pt idx="2">
                  <c:v>50.2</c:v>
                </c:pt>
              </c:numCache>
            </c:numRef>
          </c:val>
        </c:ser>
        <c:dLbls>
          <c:showVal val="1"/>
        </c:dLbls>
        <c:gapWidth val="101"/>
        <c:gapDepth val="94"/>
        <c:shape val="cylinder"/>
        <c:axId val="90632192"/>
        <c:axId val="90633728"/>
        <c:axId val="100266432"/>
      </c:bar3DChart>
      <c:catAx>
        <c:axId val="90632192"/>
        <c:scaling>
          <c:orientation val="minMax"/>
        </c:scaling>
        <c:axPos val="b"/>
        <c:numFmt formatCode="General" sourceLinked="1"/>
        <c:tickLblPos val="nextTo"/>
        <c:crossAx val="90633728"/>
        <c:crosses val="autoZero"/>
        <c:auto val="1"/>
        <c:lblAlgn val="ctr"/>
        <c:lblOffset val="100"/>
      </c:catAx>
      <c:valAx>
        <c:axId val="90633728"/>
        <c:scaling>
          <c:orientation val="minMax"/>
        </c:scaling>
        <c:axPos val="l"/>
        <c:numFmt formatCode="General" sourceLinked="1"/>
        <c:tickLblPos val="nextTo"/>
        <c:crossAx val="90632192"/>
        <c:crosses val="autoZero"/>
        <c:crossBetween val="between"/>
      </c:valAx>
      <c:serAx>
        <c:axId val="100266432"/>
        <c:scaling>
          <c:orientation val="minMax"/>
        </c:scaling>
        <c:delete val="1"/>
        <c:axPos val="b"/>
        <c:tickLblPos val="none"/>
        <c:crossAx val="90633728"/>
        <c:crosses val="autoZero"/>
      </c:serAx>
      <c:spPr>
        <a:noFill/>
      </c:spPr>
    </c:plotArea>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style val="37"/>
  <c:chart>
    <c:title>
      <c:tx>
        <c:rich>
          <a:bodyPr/>
          <a:lstStyle/>
          <a:p>
            <a:pPr>
              <a:defRPr sz="1100"/>
            </a:pPr>
            <a:r>
              <a:rPr lang="ru-RU" sz="1100"/>
              <a:t>Расходы бюджета муниципального образования на содержание работников органов местного самоуправления в расчете на 1 жителя, руб.</a:t>
            </a:r>
          </a:p>
        </c:rich>
      </c:tx>
    </c:title>
    <c:plotArea>
      <c:layout/>
      <c:barChart>
        <c:barDir val="col"/>
        <c:grouping val="clustered"/>
        <c:ser>
          <c:idx val="0"/>
          <c:order val="0"/>
          <c:tx>
            <c:strRef>
              <c:f>Лист1!$B$1</c:f>
              <c:strCache>
                <c:ptCount val="1"/>
                <c:pt idx="0">
                  <c:v>Ряд 1</c:v>
                </c:pt>
              </c:strCache>
            </c:strRef>
          </c:tx>
          <c:dPt>
            <c:idx val="1"/>
            <c:spPr>
              <a:solidFill>
                <a:srgbClr val="4BACC6">
                  <a:lumMod val="60000"/>
                  <a:lumOff val="40000"/>
                </a:srgbClr>
              </a:solidFill>
            </c:spPr>
          </c:dPt>
          <c:dPt>
            <c:idx val="2"/>
            <c:spPr>
              <a:solidFill>
                <a:schemeClr val="accent6">
                  <a:lumMod val="60000"/>
                  <a:lumOff val="40000"/>
                </a:schemeClr>
              </a:solidFill>
              <a:ln>
                <a:solidFill>
                  <a:sysClr val="windowText" lastClr="000000"/>
                </a:solidFill>
              </a:ln>
            </c:spPr>
          </c:dPt>
          <c:dLbls>
            <c:txPr>
              <a:bodyPr/>
              <a:lstStyle/>
              <a:p>
                <a:pPr>
                  <a:defRPr sz="1100" b="1"/>
                </a:pPr>
                <a:endParaRPr lang="ru-RU"/>
              </a:p>
            </c:txPr>
            <c:dLblPos val="inEnd"/>
            <c:showVal val="1"/>
          </c:dLbls>
          <c:cat>
            <c:numRef>
              <c:f>Лист1!$A$2:$A$4</c:f>
              <c:numCache>
                <c:formatCode>General</c:formatCode>
                <c:ptCount val="3"/>
                <c:pt idx="0">
                  <c:v>2015</c:v>
                </c:pt>
                <c:pt idx="1">
                  <c:v>2016</c:v>
                </c:pt>
                <c:pt idx="2">
                  <c:v>2017</c:v>
                </c:pt>
              </c:numCache>
            </c:numRef>
          </c:cat>
          <c:val>
            <c:numRef>
              <c:f>Лист1!$B$2:$B$4</c:f>
              <c:numCache>
                <c:formatCode>General</c:formatCode>
                <c:ptCount val="3"/>
                <c:pt idx="0">
                  <c:v>987.8</c:v>
                </c:pt>
                <c:pt idx="1">
                  <c:v>976.68000000000052</c:v>
                </c:pt>
                <c:pt idx="2">
                  <c:v>968.17000000000053</c:v>
                </c:pt>
              </c:numCache>
            </c:numRef>
          </c:val>
        </c:ser>
        <c:dLbls>
          <c:showVal val="1"/>
        </c:dLbls>
        <c:axId val="100736000"/>
        <c:axId val="100741888"/>
      </c:barChart>
      <c:catAx>
        <c:axId val="100736000"/>
        <c:scaling>
          <c:orientation val="minMax"/>
        </c:scaling>
        <c:axPos val="b"/>
        <c:numFmt formatCode="General" sourceLinked="1"/>
        <c:tickLblPos val="nextTo"/>
        <c:txPr>
          <a:bodyPr/>
          <a:lstStyle/>
          <a:p>
            <a:pPr>
              <a:defRPr b="1"/>
            </a:pPr>
            <a:endParaRPr lang="ru-RU"/>
          </a:p>
        </c:txPr>
        <c:crossAx val="100741888"/>
        <c:crosses val="autoZero"/>
        <c:auto val="1"/>
        <c:lblAlgn val="ctr"/>
        <c:lblOffset val="100"/>
      </c:catAx>
      <c:valAx>
        <c:axId val="100741888"/>
        <c:scaling>
          <c:orientation val="minMax"/>
        </c:scaling>
        <c:axPos val="l"/>
        <c:numFmt formatCode="General" sourceLinked="1"/>
        <c:tickLblPos val="nextTo"/>
        <c:crossAx val="100736000"/>
        <c:crosses val="autoZero"/>
        <c:crossBetween val="between"/>
      </c:valAx>
    </c:plotArea>
    <c:plotVisOnly val="1"/>
    <c:dispBlanksAs val="gap"/>
  </c:chart>
  <c:spPr>
    <a:noFill/>
    <a:ln>
      <a:noFill/>
    </a:ln>
  </c:spPr>
  <c:txPr>
    <a:bodyPr/>
    <a:lstStyle/>
    <a:p>
      <a:pPr>
        <a:defRPr>
          <a:latin typeface="Times New Roman" pitchFamily="18" charset="0"/>
          <a:cs typeface="Times New Roman" pitchFamily="18" charset="0"/>
        </a:defRPr>
      </a:pPr>
      <a:endParaRPr lang="ru-RU"/>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style val="36"/>
  <c:chart>
    <c:title>
      <c:tx>
        <c:rich>
          <a:bodyPr/>
          <a:lstStyle/>
          <a:p>
            <a:pPr>
              <a:defRPr sz="1100"/>
            </a:pPr>
            <a:r>
              <a:rPr lang="ru-RU" sz="1100"/>
              <a:t>Среднегодовая численность постоянного населения, тыс. чел.</a:t>
            </a:r>
          </a:p>
        </c:rich>
      </c:tx>
      <c:layout>
        <c:manualLayout>
          <c:xMode val="edge"/>
          <c:yMode val="edge"/>
          <c:x val="0.13530675853018373"/>
          <c:y val="2.3809523809523812E-2"/>
        </c:manualLayout>
      </c:layout>
    </c:title>
    <c:view3D>
      <c:rotX val="0"/>
      <c:rotY val="40"/>
      <c:rAngAx val="1"/>
    </c:view3D>
    <c:sideWall>
      <c:spPr>
        <a:noFill/>
        <a:ln w="25400">
          <a:noFill/>
        </a:ln>
      </c:spPr>
    </c:sideWall>
    <c:plotArea>
      <c:layout/>
      <c:bar3DChart>
        <c:barDir val="col"/>
        <c:grouping val="stacked"/>
        <c:ser>
          <c:idx val="0"/>
          <c:order val="0"/>
          <c:tx>
            <c:strRef>
              <c:f>Лист1!$B$1</c:f>
              <c:strCache>
                <c:ptCount val="1"/>
                <c:pt idx="0">
                  <c:v>Ряд 1</c:v>
                </c:pt>
              </c:strCache>
            </c:strRef>
          </c:tx>
          <c:dPt>
            <c:idx val="0"/>
            <c:spPr>
              <a:solidFill>
                <a:schemeClr val="accent4">
                  <a:lumMod val="75000"/>
                </a:schemeClr>
              </a:solidFill>
            </c:spPr>
          </c:dPt>
          <c:dPt>
            <c:idx val="2"/>
            <c:spPr>
              <a:solidFill>
                <a:schemeClr val="accent6">
                  <a:lumMod val="75000"/>
                </a:schemeClr>
              </a:solidFill>
            </c:spPr>
          </c:dPt>
          <c:dLbls>
            <c:dLbl>
              <c:idx val="0"/>
              <c:layout>
                <c:manualLayout>
                  <c:x val="-2.0833333333333412E-2"/>
                  <c:y val="-0.23809523809523964"/>
                </c:manualLayout>
              </c:layout>
              <c:showVal val="1"/>
            </c:dLbl>
            <c:dLbl>
              <c:idx val="1"/>
              <c:layout>
                <c:manualLayout>
                  <c:x val="-1.3888888888889006E-2"/>
                  <c:y val="-0.16269841269841276"/>
                </c:manualLayout>
              </c:layout>
              <c:showVal val="1"/>
            </c:dLbl>
            <c:dLbl>
              <c:idx val="2"/>
              <c:layout>
                <c:manualLayout>
                  <c:x val="-2.5462962962962982E-2"/>
                  <c:y val="-0.10317460317460322"/>
                </c:manualLayout>
              </c:layout>
              <c:showVal val="1"/>
            </c:dLbl>
            <c:txPr>
              <a:bodyPr/>
              <a:lstStyle/>
              <a:p>
                <a:pPr>
                  <a:defRPr sz="1100" b="1"/>
                </a:pPr>
                <a:endParaRPr lang="ru-RU"/>
              </a:p>
            </c:txPr>
            <c:showVal val="1"/>
          </c:dLbls>
          <c:cat>
            <c:numRef>
              <c:f>Лист1!$A$2:$A$4</c:f>
              <c:numCache>
                <c:formatCode>General</c:formatCode>
                <c:ptCount val="3"/>
                <c:pt idx="0">
                  <c:v>2015</c:v>
                </c:pt>
                <c:pt idx="1">
                  <c:v>2016</c:v>
                </c:pt>
                <c:pt idx="2">
                  <c:v>2017</c:v>
                </c:pt>
              </c:numCache>
            </c:numRef>
          </c:cat>
          <c:val>
            <c:numRef>
              <c:f>Лист1!$B$2:$B$4</c:f>
              <c:numCache>
                <c:formatCode>General</c:formatCode>
                <c:ptCount val="3"/>
                <c:pt idx="0">
                  <c:v>39.14</c:v>
                </c:pt>
                <c:pt idx="1">
                  <c:v>38.550000000000004</c:v>
                </c:pt>
                <c:pt idx="2">
                  <c:v>38.050000000000004</c:v>
                </c:pt>
              </c:numCache>
            </c:numRef>
          </c:val>
        </c:ser>
        <c:dLbls>
          <c:showVal val="1"/>
        </c:dLbls>
        <c:shape val="pyramid"/>
        <c:axId val="100738560"/>
        <c:axId val="100740096"/>
        <c:axId val="0"/>
      </c:bar3DChart>
      <c:catAx>
        <c:axId val="100738560"/>
        <c:scaling>
          <c:orientation val="minMax"/>
        </c:scaling>
        <c:axPos val="b"/>
        <c:numFmt formatCode="General" sourceLinked="1"/>
        <c:tickLblPos val="nextTo"/>
        <c:txPr>
          <a:bodyPr/>
          <a:lstStyle/>
          <a:p>
            <a:pPr>
              <a:defRPr b="1"/>
            </a:pPr>
            <a:endParaRPr lang="ru-RU"/>
          </a:p>
        </c:txPr>
        <c:crossAx val="100740096"/>
        <c:crosses val="autoZero"/>
        <c:auto val="1"/>
        <c:lblAlgn val="ctr"/>
        <c:lblOffset val="100"/>
      </c:catAx>
      <c:valAx>
        <c:axId val="100740096"/>
        <c:scaling>
          <c:orientation val="minMax"/>
        </c:scaling>
        <c:axPos val="l"/>
        <c:numFmt formatCode="General" sourceLinked="1"/>
        <c:tickLblPos val="nextTo"/>
        <c:crossAx val="100738560"/>
        <c:crosses val="autoZero"/>
        <c:crossBetween val="between"/>
      </c:valAx>
    </c:plotArea>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sz="1200"/>
            </a:pPr>
            <a:r>
              <a:rPr lang="ru-RU" sz="1200"/>
              <a:t>Удельная величина потребленния энергетических ресурсов в многоквартирных домах</a:t>
            </a:r>
          </a:p>
        </c:rich>
      </c:tx>
    </c:title>
    <c:view3D>
      <c:perspective val="30"/>
    </c:view3D>
    <c:plotArea>
      <c:layout>
        <c:manualLayout>
          <c:layoutTarget val="inner"/>
          <c:xMode val="edge"/>
          <c:yMode val="edge"/>
          <c:x val="8.326388888888904E-2"/>
          <c:y val="0.18293650793650792"/>
          <c:w val="0.85431138815981333"/>
          <c:h val="0.56726877890263583"/>
        </c:manualLayout>
      </c:layout>
      <c:bar3DChart>
        <c:barDir val="col"/>
        <c:grouping val="clustered"/>
        <c:ser>
          <c:idx val="0"/>
          <c:order val="0"/>
          <c:tx>
            <c:strRef>
              <c:f>Лист1!$B$1</c:f>
              <c:strCache>
                <c:ptCount val="1"/>
                <c:pt idx="0">
                  <c:v>2016</c:v>
                </c:pt>
              </c:strCache>
            </c:strRef>
          </c:tx>
          <c:dLbls>
            <c:dLbl>
              <c:idx val="0"/>
              <c:layout>
                <c:manualLayout>
                  <c:x val="-4.6296296296296389E-3"/>
                  <c:y val="0"/>
                </c:manualLayout>
              </c:layout>
              <c:showVal val="1"/>
            </c:dLbl>
            <c:dLbl>
              <c:idx val="1"/>
              <c:layout>
                <c:manualLayout>
                  <c:x val="-4.6296296296296389E-3"/>
                  <c:y val="-1.1904761904761921E-2"/>
                </c:manualLayout>
              </c:layout>
              <c:showVal val="1"/>
            </c:dLbl>
            <c:dLbl>
              <c:idx val="4"/>
              <c:layout>
                <c:manualLayout>
                  <c:x val="-9.2592592592592813E-3"/>
                  <c:y val="3.9682539682539802E-3"/>
                </c:manualLayout>
              </c:layout>
              <c:showVal val="1"/>
            </c:dLbl>
            <c:showVal val="1"/>
          </c:dLbls>
          <c:cat>
            <c:strRef>
              <c:f>Лист1!$A$2:$A$6</c:f>
              <c:strCache>
                <c:ptCount val="5"/>
                <c:pt idx="0">
                  <c:v>Электрическая энергия</c:v>
                </c:pt>
                <c:pt idx="1">
                  <c:v>Тепловая энергия</c:v>
                </c:pt>
                <c:pt idx="2">
                  <c:v>Горячая вода</c:v>
                </c:pt>
                <c:pt idx="3">
                  <c:v>Холодная вода</c:v>
                </c:pt>
                <c:pt idx="4">
                  <c:v>Природный газ</c:v>
                </c:pt>
              </c:strCache>
            </c:strRef>
          </c:cat>
          <c:val>
            <c:numRef>
              <c:f>Лист1!$B$2:$B$6</c:f>
              <c:numCache>
                <c:formatCode>General</c:formatCode>
                <c:ptCount val="5"/>
                <c:pt idx="0">
                  <c:v>371.5</c:v>
                </c:pt>
                <c:pt idx="1">
                  <c:v>0.19</c:v>
                </c:pt>
                <c:pt idx="2">
                  <c:v>37.5</c:v>
                </c:pt>
                <c:pt idx="3">
                  <c:v>89</c:v>
                </c:pt>
                <c:pt idx="4">
                  <c:v>299</c:v>
                </c:pt>
              </c:numCache>
            </c:numRef>
          </c:val>
        </c:ser>
        <c:ser>
          <c:idx val="1"/>
          <c:order val="1"/>
          <c:tx>
            <c:strRef>
              <c:f>Лист1!$C$1</c:f>
              <c:strCache>
                <c:ptCount val="1"/>
                <c:pt idx="0">
                  <c:v>2017</c:v>
                </c:pt>
              </c:strCache>
            </c:strRef>
          </c:tx>
          <c:dLbls>
            <c:dLbl>
              <c:idx val="0"/>
              <c:layout>
                <c:manualLayout>
                  <c:x val="2.5462962962962982E-2"/>
                  <c:y val="1.1904761904761921E-2"/>
                </c:manualLayout>
              </c:layout>
              <c:showVal val="1"/>
            </c:dLbl>
            <c:dLbl>
              <c:idx val="1"/>
              <c:layout>
                <c:manualLayout>
                  <c:x val="1.6203703703703703E-2"/>
                  <c:y val="-1.9841269841269805E-2"/>
                </c:manualLayout>
              </c:layout>
              <c:showVal val="1"/>
            </c:dLbl>
            <c:dLbl>
              <c:idx val="2"/>
              <c:layout>
                <c:manualLayout>
                  <c:x val="1.3888888888888919E-2"/>
                  <c:y val="7.2750482331543448E-17"/>
                </c:manualLayout>
              </c:layout>
              <c:showVal val="1"/>
            </c:dLbl>
            <c:dLbl>
              <c:idx val="3"/>
              <c:layout>
                <c:manualLayout>
                  <c:x val="1.3888888888888919E-2"/>
                  <c:y val="-7.2750482331543448E-17"/>
                </c:manualLayout>
              </c:layout>
              <c:showVal val="1"/>
            </c:dLbl>
            <c:dLbl>
              <c:idx val="4"/>
              <c:layout>
                <c:manualLayout>
                  <c:x val="1.8518518518518583E-2"/>
                  <c:y val="1.5873015873015879E-2"/>
                </c:manualLayout>
              </c:layout>
              <c:showVal val="1"/>
            </c:dLbl>
            <c:showVal val="1"/>
          </c:dLbls>
          <c:cat>
            <c:strRef>
              <c:f>Лист1!$A$2:$A$6</c:f>
              <c:strCache>
                <c:ptCount val="5"/>
                <c:pt idx="0">
                  <c:v>Электрическая энергия</c:v>
                </c:pt>
                <c:pt idx="1">
                  <c:v>Тепловая энергия</c:v>
                </c:pt>
                <c:pt idx="2">
                  <c:v>Горячая вода</c:v>
                </c:pt>
                <c:pt idx="3">
                  <c:v>Холодная вода</c:v>
                </c:pt>
                <c:pt idx="4">
                  <c:v>Природный газ</c:v>
                </c:pt>
              </c:strCache>
            </c:strRef>
          </c:cat>
          <c:val>
            <c:numRef>
              <c:f>Лист1!$C$2:$C$6</c:f>
              <c:numCache>
                <c:formatCode>General</c:formatCode>
                <c:ptCount val="5"/>
                <c:pt idx="0">
                  <c:v>371.4</c:v>
                </c:pt>
                <c:pt idx="1">
                  <c:v>0.19</c:v>
                </c:pt>
                <c:pt idx="2">
                  <c:v>37.4</c:v>
                </c:pt>
                <c:pt idx="3">
                  <c:v>88.5</c:v>
                </c:pt>
                <c:pt idx="4">
                  <c:v>298.89999999999969</c:v>
                </c:pt>
              </c:numCache>
            </c:numRef>
          </c:val>
        </c:ser>
        <c:dLbls>
          <c:showVal val="1"/>
        </c:dLbls>
        <c:shape val="cylinder"/>
        <c:axId val="100289536"/>
        <c:axId val="100774656"/>
        <c:axId val="0"/>
      </c:bar3DChart>
      <c:catAx>
        <c:axId val="100289536"/>
        <c:scaling>
          <c:orientation val="minMax"/>
        </c:scaling>
        <c:axPos val="b"/>
        <c:tickLblPos val="nextTo"/>
        <c:crossAx val="100774656"/>
        <c:crosses val="autoZero"/>
        <c:auto val="1"/>
        <c:lblAlgn val="ctr"/>
        <c:lblOffset val="100"/>
      </c:catAx>
      <c:valAx>
        <c:axId val="100774656"/>
        <c:scaling>
          <c:orientation val="minMax"/>
        </c:scaling>
        <c:axPos val="l"/>
        <c:numFmt formatCode="General" sourceLinked="1"/>
        <c:tickLblPos val="nextTo"/>
        <c:crossAx val="100289536"/>
        <c:crosses val="autoZero"/>
        <c:crossBetween val="between"/>
      </c:valAx>
    </c:plotArea>
    <c:legend>
      <c:legendPos val="r"/>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0"/>
            </a:pPr>
            <a:r>
              <a:rPr lang="ru-RU" sz="1100"/>
              <a:t>Объём инвестиций в основной капитал (за исключением бюджетных средств) в расчете на 1 жителя,руб.</a:t>
            </a:r>
          </a:p>
        </c:rich>
      </c:tx>
    </c:title>
    <c:view3D>
      <c:perspective val="30"/>
    </c:view3D>
    <c:floor>
      <c:spPr>
        <a:noFill/>
        <a:ln w="9525">
          <a:noFill/>
        </a:ln>
      </c:spPr>
    </c:floor>
    <c:plotArea>
      <c:layout/>
      <c:bar3DChart>
        <c:barDir val="col"/>
        <c:grouping val="clustered"/>
        <c:ser>
          <c:idx val="0"/>
          <c:order val="0"/>
          <c:tx>
            <c:strRef>
              <c:f>Лист1!$B$1</c:f>
              <c:strCache>
                <c:ptCount val="1"/>
                <c:pt idx="0">
                  <c:v>Ряд 1</c:v>
                </c:pt>
              </c:strCache>
            </c:strRef>
          </c:tx>
          <c:dLbls>
            <c:dLbl>
              <c:idx val="0"/>
              <c:layout>
                <c:manualLayout>
                  <c:x val="-1.1574074074074073E-2"/>
                  <c:y val="-1.9841269841269993E-2"/>
                </c:manualLayout>
              </c:layout>
              <c:showVal val="1"/>
            </c:dLbl>
            <c:dLbl>
              <c:idx val="1"/>
              <c:layout>
                <c:manualLayout>
                  <c:x val="0"/>
                  <c:y val="-1.5873015873015879E-2"/>
                </c:manualLayout>
              </c:layout>
              <c:showVal val="1"/>
            </c:dLbl>
            <c:dLbl>
              <c:idx val="2"/>
              <c:layout>
                <c:manualLayout>
                  <c:x val="0"/>
                  <c:y val="-2.3809523809523812E-2"/>
                </c:manualLayout>
              </c:layout>
              <c:showVal val="1"/>
            </c:dLbl>
            <c:txPr>
              <a:bodyPr/>
              <a:lstStyle/>
              <a:p>
                <a:pPr>
                  <a:defRPr sz="1200" b="1"/>
                </a:pPr>
                <a:endParaRPr lang="ru-RU"/>
              </a:p>
            </c:txPr>
            <c:showVal val="1"/>
          </c:dLbls>
          <c:cat>
            <c:numRef>
              <c:f>Лист1!$A$2:$A$4</c:f>
              <c:numCache>
                <c:formatCode>General</c:formatCode>
                <c:ptCount val="3"/>
                <c:pt idx="0">
                  <c:v>2015</c:v>
                </c:pt>
                <c:pt idx="1">
                  <c:v>2016</c:v>
                </c:pt>
                <c:pt idx="2">
                  <c:v>2017</c:v>
                </c:pt>
              </c:numCache>
            </c:numRef>
          </c:cat>
          <c:val>
            <c:numRef>
              <c:f>Лист1!$B$2:$B$4</c:f>
              <c:numCache>
                <c:formatCode>General</c:formatCode>
                <c:ptCount val="3"/>
                <c:pt idx="0">
                  <c:v>3108.8</c:v>
                </c:pt>
                <c:pt idx="1">
                  <c:v>3832.6</c:v>
                </c:pt>
                <c:pt idx="2">
                  <c:v>3707.1</c:v>
                </c:pt>
              </c:numCache>
            </c:numRef>
          </c:val>
        </c:ser>
        <c:dLbls>
          <c:showVal val="1"/>
        </c:dLbls>
        <c:shape val="cone"/>
        <c:axId val="91180032"/>
        <c:axId val="91181824"/>
        <c:axId val="0"/>
      </c:bar3DChart>
      <c:catAx>
        <c:axId val="91180032"/>
        <c:scaling>
          <c:orientation val="minMax"/>
        </c:scaling>
        <c:axPos val="b"/>
        <c:numFmt formatCode="General" sourceLinked="1"/>
        <c:tickLblPos val="nextTo"/>
        <c:crossAx val="91181824"/>
        <c:crosses val="autoZero"/>
        <c:auto val="1"/>
        <c:lblAlgn val="ctr"/>
        <c:lblOffset val="100"/>
      </c:catAx>
      <c:valAx>
        <c:axId val="91181824"/>
        <c:scaling>
          <c:orientation val="minMax"/>
        </c:scaling>
        <c:axPos val="l"/>
        <c:numFmt formatCode="General" sourceLinked="1"/>
        <c:tickLblPos val="nextTo"/>
        <c:crossAx val="91180032"/>
        <c:crosses val="autoZero"/>
        <c:crossBetween val="between"/>
      </c:valAx>
    </c:plotArea>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32"/>
  <c:chart>
    <c:title>
      <c:tx>
        <c:rich>
          <a:bodyPr/>
          <a:lstStyle/>
          <a:p>
            <a:pPr>
              <a:defRPr sz="1100">
                <a:solidFill>
                  <a:sysClr val="windowText" lastClr="000000"/>
                </a:solidFill>
              </a:defRPr>
            </a:pPr>
            <a:r>
              <a:rPr lang="ru-RU" sz="1100">
                <a:solidFill>
                  <a:sysClr val="windowText" lastClr="000000"/>
                </a:solidFill>
              </a:rPr>
              <a:t>Доля площади земельных участков, являющихся объектами налогообложения, % </a:t>
            </a:r>
            <a:endParaRPr lang="en-US" sz="1100">
              <a:solidFill>
                <a:sysClr val="windowText" lastClr="000000"/>
              </a:solidFill>
            </a:endParaRPr>
          </a:p>
        </c:rich>
      </c:tx>
    </c:title>
    <c:plotArea>
      <c:layout/>
      <c:barChart>
        <c:barDir val="bar"/>
        <c:grouping val="clustered"/>
        <c:ser>
          <c:idx val="0"/>
          <c:order val="0"/>
          <c:tx>
            <c:strRef>
              <c:f>Лист1!$B$1</c:f>
              <c:strCache>
                <c:ptCount val="1"/>
                <c:pt idx="0">
                  <c:v>Значения Y</c:v>
                </c:pt>
              </c:strCache>
            </c:strRef>
          </c:tx>
          <c:dLbls>
            <c:txPr>
              <a:bodyPr/>
              <a:lstStyle/>
              <a:p>
                <a:pPr>
                  <a:defRPr sz="1100" b="1"/>
                </a:pPr>
                <a:endParaRPr lang="ru-RU"/>
              </a:p>
            </c:txPr>
            <c:dLblPos val="outEnd"/>
            <c:showVal val="1"/>
          </c:dLbls>
          <c:cat>
            <c:numRef>
              <c:f>Лист1!$A$2:$A$4</c:f>
              <c:numCache>
                <c:formatCode>General</c:formatCode>
                <c:ptCount val="3"/>
                <c:pt idx="0">
                  <c:v>2015</c:v>
                </c:pt>
                <c:pt idx="1">
                  <c:v>2016</c:v>
                </c:pt>
                <c:pt idx="2">
                  <c:v>2017</c:v>
                </c:pt>
              </c:numCache>
            </c:numRef>
          </c:cat>
          <c:val>
            <c:numRef>
              <c:f>Лист1!$B$2:$B$4</c:f>
              <c:numCache>
                <c:formatCode>General</c:formatCode>
                <c:ptCount val="3"/>
                <c:pt idx="0">
                  <c:v>85</c:v>
                </c:pt>
                <c:pt idx="1">
                  <c:v>87</c:v>
                </c:pt>
                <c:pt idx="2">
                  <c:v>88</c:v>
                </c:pt>
              </c:numCache>
            </c:numRef>
          </c:val>
        </c:ser>
        <c:dLbls>
          <c:showVal val="1"/>
        </c:dLbls>
        <c:axId val="91341184"/>
        <c:axId val="91342720"/>
      </c:barChart>
      <c:catAx>
        <c:axId val="91341184"/>
        <c:scaling>
          <c:orientation val="minMax"/>
        </c:scaling>
        <c:axPos val="l"/>
        <c:numFmt formatCode="General" sourceLinked="1"/>
        <c:tickLblPos val="nextTo"/>
        <c:txPr>
          <a:bodyPr/>
          <a:lstStyle/>
          <a:p>
            <a:pPr>
              <a:defRPr b="1"/>
            </a:pPr>
            <a:endParaRPr lang="ru-RU"/>
          </a:p>
        </c:txPr>
        <c:crossAx val="91342720"/>
        <c:crosses val="autoZero"/>
        <c:auto val="1"/>
        <c:lblAlgn val="ctr"/>
        <c:lblOffset val="100"/>
      </c:catAx>
      <c:valAx>
        <c:axId val="91342720"/>
        <c:scaling>
          <c:orientation val="minMax"/>
        </c:scaling>
        <c:axPos val="b"/>
        <c:numFmt formatCode="General" sourceLinked="1"/>
        <c:tickLblPos val="nextTo"/>
        <c:crossAx val="91341184"/>
        <c:crosses val="autoZero"/>
        <c:crossBetween val="between"/>
      </c:valAx>
    </c:plotArea>
    <c:plotVisOnly val="1"/>
    <c:dispBlanksAs val="gap"/>
  </c:chart>
  <c:spPr>
    <a:noFill/>
    <a:ln>
      <a:noFill/>
    </a:ln>
  </c:spPr>
  <c:txPr>
    <a:bodyPr/>
    <a:lstStyle/>
    <a:p>
      <a:pPr>
        <a:defRPr>
          <a:latin typeface="Times New Roman" pitchFamily="18" charset="0"/>
          <a:cs typeface="Times New Roman" pitchFamily="18" charset="0"/>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30"/>
  <c:chart>
    <c:title>
      <c:tx>
        <c:rich>
          <a:bodyPr/>
          <a:lstStyle/>
          <a:p>
            <a:pPr>
              <a:defRPr sz="1100"/>
            </a:pPr>
            <a:r>
              <a:rPr lang="ru-RU" sz="1100"/>
              <a:t>Доля прибыльных сельскохозяйственных организаций, %</a:t>
            </a:r>
          </a:p>
        </c:rich>
      </c:tx>
    </c:title>
    <c:view3D>
      <c:perspective val="30"/>
    </c:view3D>
    <c:floor>
      <c:spPr>
        <a:noFill/>
        <a:ln w="9525">
          <a:noFill/>
        </a:ln>
      </c:spPr>
    </c:floor>
    <c:plotArea>
      <c:layout/>
      <c:bar3DChart>
        <c:barDir val="col"/>
        <c:grouping val="standard"/>
        <c:ser>
          <c:idx val="0"/>
          <c:order val="0"/>
          <c:tx>
            <c:strRef>
              <c:f>Лист1!$B$1</c:f>
              <c:strCache>
                <c:ptCount val="1"/>
                <c:pt idx="0">
                  <c:v>Ряд 1</c:v>
                </c:pt>
              </c:strCache>
            </c:strRef>
          </c:tx>
          <c:dLbls>
            <c:dLbl>
              <c:idx val="0"/>
              <c:layout>
                <c:manualLayout>
                  <c:x val="2.0833333333333412E-2"/>
                  <c:y val="-7.142857142857148E-2"/>
                </c:manualLayout>
              </c:layout>
              <c:showVal val="1"/>
            </c:dLbl>
            <c:dLbl>
              <c:idx val="1"/>
              <c:layout>
                <c:manualLayout>
                  <c:x val="2.0833333333333412E-2"/>
                  <c:y val="-7.1428571428571425E-2"/>
                </c:manualLayout>
              </c:layout>
              <c:showVal val="1"/>
            </c:dLbl>
            <c:dLbl>
              <c:idx val="2"/>
              <c:layout>
                <c:manualLayout>
                  <c:x val="1.6203703703703703E-2"/>
                  <c:y val="-7.142857142857148E-2"/>
                </c:manualLayout>
              </c:layout>
              <c:showVal val="1"/>
            </c:dLbl>
            <c:txPr>
              <a:bodyPr/>
              <a:lstStyle/>
              <a:p>
                <a:pPr>
                  <a:defRPr sz="1200" b="1"/>
                </a:pPr>
                <a:endParaRPr lang="ru-RU"/>
              </a:p>
            </c:txPr>
            <c:showVal val="1"/>
          </c:dLbls>
          <c:cat>
            <c:numRef>
              <c:f>Лист1!$A$2:$A$4</c:f>
              <c:numCache>
                <c:formatCode>General</c:formatCode>
                <c:ptCount val="3"/>
                <c:pt idx="0">
                  <c:v>2015</c:v>
                </c:pt>
                <c:pt idx="1">
                  <c:v>2016</c:v>
                </c:pt>
                <c:pt idx="2">
                  <c:v>2017</c:v>
                </c:pt>
              </c:numCache>
            </c:numRef>
          </c:cat>
          <c:val>
            <c:numRef>
              <c:f>Лист1!$B$2:$B$4</c:f>
              <c:numCache>
                <c:formatCode>General</c:formatCode>
                <c:ptCount val="3"/>
                <c:pt idx="0">
                  <c:v>81.8</c:v>
                </c:pt>
                <c:pt idx="1">
                  <c:v>83.3</c:v>
                </c:pt>
                <c:pt idx="2">
                  <c:v>88.9</c:v>
                </c:pt>
              </c:numCache>
            </c:numRef>
          </c:val>
        </c:ser>
        <c:dLbls>
          <c:showVal val="1"/>
        </c:dLbls>
        <c:shape val="cylinder"/>
        <c:axId val="91174784"/>
        <c:axId val="91176320"/>
        <c:axId val="91165120"/>
      </c:bar3DChart>
      <c:catAx>
        <c:axId val="91174784"/>
        <c:scaling>
          <c:orientation val="minMax"/>
        </c:scaling>
        <c:axPos val="b"/>
        <c:numFmt formatCode="General" sourceLinked="1"/>
        <c:tickLblPos val="nextTo"/>
        <c:txPr>
          <a:bodyPr/>
          <a:lstStyle/>
          <a:p>
            <a:pPr>
              <a:defRPr b="1"/>
            </a:pPr>
            <a:endParaRPr lang="ru-RU"/>
          </a:p>
        </c:txPr>
        <c:crossAx val="91176320"/>
        <c:crosses val="autoZero"/>
        <c:auto val="1"/>
        <c:lblAlgn val="ctr"/>
        <c:lblOffset val="100"/>
      </c:catAx>
      <c:valAx>
        <c:axId val="91176320"/>
        <c:scaling>
          <c:orientation val="minMax"/>
        </c:scaling>
        <c:axPos val="l"/>
        <c:numFmt formatCode="General" sourceLinked="1"/>
        <c:tickLblPos val="nextTo"/>
        <c:crossAx val="91174784"/>
        <c:crosses val="autoZero"/>
        <c:crossBetween val="between"/>
      </c:valAx>
      <c:serAx>
        <c:axId val="91165120"/>
        <c:scaling>
          <c:orientation val="minMax"/>
        </c:scaling>
        <c:delete val="1"/>
        <c:axPos val="b"/>
        <c:tickLblPos val="none"/>
        <c:crossAx val="91176320"/>
        <c:crosses val="autoZero"/>
      </c:serAx>
    </c:plotArea>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6"/>
  <c:chart>
    <c:title>
      <c:tx>
        <c:rich>
          <a:bodyPr/>
          <a:lstStyle/>
          <a:p>
            <a:pPr>
              <a:defRPr sz="1100"/>
            </a:pPr>
            <a:r>
              <a:rPr lang="ru-RU" sz="1100"/>
              <a:t>Доля автомобильных дорог, не отвечающих нормативным требованиям, %</a:t>
            </a:r>
          </a:p>
        </c:rich>
      </c:tx>
    </c:title>
    <c:plotArea>
      <c:layout/>
      <c:lineChart>
        <c:grouping val="stacked"/>
        <c:ser>
          <c:idx val="0"/>
          <c:order val="0"/>
          <c:tx>
            <c:strRef>
              <c:f>Лист1!$B$1</c:f>
              <c:strCache>
                <c:ptCount val="1"/>
                <c:pt idx="0">
                  <c:v>Ряд 1</c:v>
                </c:pt>
              </c:strCache>
            </c:strRef>
          </c:tx>
          <c:dLbls>
            <c:txPr>
              <a:bodyPr/>
              <a:lstStyle/>
              <a:p>
                <a:pPr>
                  <a:defRPr sz="1100" b="1"/>
                </a:pPr>
                <a:endParaRPr lang="ru-RU"/>
              </a:p>
            </c:txPr>
            <c:dLblPos val="t"/>
            <c:showVal val="1"/>
          </c:dLbls>
          <c:cat>
            <c:numRef>
              <c:f>Лист1!$A$2:$A$4</c:f>
              <c:numCache>
                <c:formatCode>General</c:formatCode>
                <c:ptCount val="3"/>
                <c:pt idx="0">
                  <c:v>2015</c:v>
                </c:pt>
                <c:pt idx="1">
                  <c:v>2016</c:v>
                </c:pt>
                <c:pt idx="2">
                  <c:v>2017</c:v>
                </c:pt>
              </c:numCache>
            </c:numRef>
          </c:cat>
          <c:val>
            <c:numRef>
              <c:f>Лист1!$B$2:$B$4</c:f>
              <c:numCache>
                <c:formatCode>General</c:formatCode>
                <c:ptCount val="3"/>
                <c:pt idx="0">
                  <c:v>95.78</c:v>
                </c:pt>
                <c:pt idx="1">
                  <c:v>92.6</c:v>
                </c:pt>
                <c:pt idx="2">
                  <c:v>89.19</c:v>
                </c:pt>
              </c:numCache>
            </c:numRef>
          </c:val>
        </c:ser>
        <c:dLbls>
          <c:showVal val="1"/>
        </c:dLbls>
        <c:marker val="1"/>
        <c:axId val="91369856"/>
        <c:axId val="91371392"/>
      </c:lineChart>
      <c:catAx>
        <c:axId val="91369856"/>
        <c:scaling>
          <c:orientation val="minMax"/>
        </c:scaling>
        <c:axPos val="b"/>
        <c:numFmt formatCode="General" sourceLinked="1"/>
        <c:tickLblPos val="nextTo"/>
        <c:crossAx val="91371392"/>
        <c:crosses val="autoZero"/>
        <c:auto val="1"/>
        <c:lblAlgn val="ctr"/>
        <c:lblOffset val="100"/>
      </c:catAx>
      <c:valAx>
        <c:axId val="91371392"/>
        <c:scaling>
          <c:orientation val="minMax"/>
        </c:scaling>
        <c:axPos val="l"/>
        <c:numFmt formatCode="General" sourceLinked="1"/>
        <c:tickLblPos val="nextTo"/>
        <c:crossAx val="91369856"/>
        <c:crosses val="autoZero"/>
        <c:crossBetween val="between"/>
      </c:valAx>
    </c:plotArea>
    <c:plotVisOnly val="1"/>
    <c:dispBlanksAs val="zero"/>
  </c:chart>
  <c:spPr>
    <a:ln>
      <a:noFill/>
    </a:ln>
  </c:spPr>
  <c:txPr>
    <a:bodyPr/>
    <a:lstStyle/>
    <a:p>
      <a:pPr>
        <a:defRPr>
          <a:latin typeface="Times New Roman" pitchFamily="18" charset="0"/>
          <a:cs typeface="Times New Roman" pitchFamily="18" charset="0"/>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0"/>
            </a:pPr>
            <a:r>
              <a:rPr lang="ru-RU" sz="1100"/>
              <a:t>Размер среднемесячной номинальной начисленной заработной платы работников крупных и средних предприятий и некоммерческих организаций, руб.</a:t>
            </a:r>
          </a:p>
        </c:rich>
      </c:tx>
    </c:title>
    <c:view3D>
      <c:rAngAx val="1"/>
    </c:view3D>
    <c:plotArea>
      <c:layout/>
      <c:bar3DChart>
        <c:barDir val="col"/>
        <c:grouping val="stacked"/>
        <c:ser>
          <c:idx val="0"/>
          <c:order val="0"/>
          <c:tx>
            <c:strRef>
              <c:f>Лист1!$B$1</c:f>
              <c:strCache>
                <c:ptCount val="1"/>
                <c:pt idx="0">
                  <c:v>Ряд 1</c:v>
                </c:pt>
              </c:strCache>
            </c:strRef>
          </c:tx>
          <c:spPr>
            <a:solidFill>
              <a:srgbClr val="00B050"/>
            </a:solidFill>
          </c:spPr>
          <c:dLbls>
            <c:dLbl>
              <c:idx val="0"/>
              <c:layout>
                <c:manualLayout>
                  <c:x val="2.5462962962962982E-2"/>
                  <c:y val="-0.33158813263525616"/>
                </c:manualLayout>
              </c:layout>
              <c:showVal val="1"/>
            </c:dLbl>
            <c:dLbl>
              <c:idx val="1"/>
              <c:layout>
                <c:manualLayout>
                  <c:x val="9.2592592592593698E-3"/>
                  <c:y val="-0.35602094240837701"/>
                </c:manualLayout>
              </c:layout>
              <c:showVal val="1"/>
            </c:dLbl>
            <c:dLbl>
              <c:idx val="2"/>
              <c:layout>
                <c:manualLayout>
                  <c:x val="2.7777595508894953E-2"/>
                  <c:y val="-0.37347294938918352"/>
                </c:manualLayout>
              </c:layout>
              <c:showVal val="1"/>
            </c:dLbl>
            <c:txPr>
              <a:bodyPr/>
              <a:lstStyle/>
              <a:p>
                <a:pPr>
                  <a:defRPr sz="1200" b="1"/>
                </a:pPr>
                <a:endParaRPr lang="ru-RU"/>
              </a:p>
            </c:txPr>
            <c:showVal val="1"/>
          </c:dLbls>
          <c:cat>
            <c:numRef>
              <c:f>Лист1!$A$2:$A$4</c:f>
              <c:numCache>
                <c:formatCode>General</c:formatCode>
                <c:ptCount val="3"/>
                <c:pt idx="0">
                  <c:v>2015</c:v>
                </c:pt>
                <c:pt idx="1">
                  <c:v>2016</c:v>
                </c:pt>
                <c:pt idx="2">
                  <c:v>2017</c:v>
                </c:pt>
              </c:numCache>
            </c:numRef>
          </c:cat>
          <c:val>
            <c:numRef>
              <c:f>Лист1!$B$2:$B$4</c:f>
              <c:numCache>
                <c:formatCode>General</c:formatCode>
                <c:ptCount val="3"/>
                <c:pt idx="0">
                  <c:v>24253.8</c:v>
                </c:pt>
                <c:pt idx="1">
                  <c:v>25399.8</c:v>
                </c:pt>
                <c:pt idx="2">
                  <c:v>27072.7</c:v>
                </c:pt>
              </c:numCache>
            </c:numRef>
          </c:val>
        </c:ser>
        <c:dLbls>
          <c:showVal val="1"/>
        </c:dLbls>
        <c:shape val="box"/>
        <c:axId val="91404160"/>
        <c:axId val="91405696"/>
        <c:axId val="0"/>
      </c:bar3DChart>
      <c:catAx>
        <c:axId val="91404160"/>
        <c:scaling>
          <c:orientation val="minMax"/>
        </c:scaling>
        <c:axPos val="b"/>
        <c:numFmt formatCode="General" sourceLinked="1"/>
        <c:tickLblPos val="nextTo"/>
        <c:crossAx val="91405696"/>
        <c:crosses val="autoZero"/>
        <c:auto val="1"/>
        <c:lblAlgn val="ctr"/>
        <c:lblOffset val="100"/>
      </c:catAx>
      <c:valAx>
        <c:axId val="91405696"/>
        <c:scaling>
          <c:orientation val="minMax"/>
        </c:scaling>
        <c:axPos val="l"/>
        <c:numFmt formatCode="General" sourceLinked="1"/>
        <c:tickLblPos val="nextTo"/>
        <c:crossAx val="91404160"/>
        <c:crosses val="autoZero"/>
        <c:crossBetween val="between"/>
      </c:valAx>
    </c:plotArea>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ctr">
              <a:defRPr sz="1100"/>
            </a:pPr>
            <a:r>
              <a:rPr lang="ru-RU" sz="1100"/>
              <a:t>Среднемесячная номинальная начисленная заработная плата работников муниципальных дошкольных образовательных учреждений, руб.</a:t>
            </a:r>
          </a:p>
        </c:rich>
      </c:tx>
    </c:title>
    <c:view3D>
      <c:rAngAx val="1"/>
    </c:view3D>
    <c:plotArea>
      <c:layout/>
      <c:bar3DChart>
        <c:barDir val="col"/>
        <c:grouping val="stacked"/>
        <c:ser>
          <c:idx val="0"/>
          <c:order val="0"/>
          <c:tx>
            <c:strRef>
              <c:f>Лист1!$B$1</c:f>
              <c:strCache>
                <c:ptCount val="1"/>
                <c:pt idx="0">
                  <c:v>Ряд 1</c:v>
                </c:pt>
              </c:strCache>
            </c:strRef>
          </c:tx>
          <c:spPr>
            <a:solidFill>
              <a:srgbClr val="00B050"/>
            </a:solidFill>
          </c:spPr>
          <c:dLbls>
            <c:dLbl>
              <c:idx val="0"/>
              <c:layout>
                <c:manualLayout>
                  <c:x val="1.6203703703703703E-2"/>
                  <c:y val="-0.34554973821989532"/>
                </c:manualLayout>
              </c:layout>
              <c:showVal val="1"/>
            </c:dLbl>
            <c:dLbl>
              <c:idx val="1"/>
              <c:layout>
                <c:manualLayout>
                  <c:x val="9.2592592592593698E-3"/>
                  <c:y val="-0.33158813263525605"/>
                </c:manualLayout>
              </c:layout>
              <c:showVal val="1"/>
            </c:dLbl>
            <c:dLbl>
              <c:idx val="2"/>
              <c:layout>
                <c:manualLayout>
                  <c:x val="0"/>
                  <c:y val="-0.35253054101221648"/>
                </c:manualLayout>
              </c:layout>
              <c:showVal val="1"/>
            </c:dLbl>
            <c:txPr>
              <a:bodyPr/>
              <a:lstStyle/>
              <a:p>
                <a:pPr>
                  <a:defRPr sz="1100" b="1"/>
                </a:pPr>
                <a:endParaRPr lang="ru-RU"/>
              </a:p>
            </c:txPr>
            <c:showVal val="1"/>
          </c:dLbls>
          <c:cat>
            <c:numRef>
              <c:f>Лист1!$A$2:$A$4</c:f>
              <c:numCache>
                <c:formatCode>General</c:formatCode>
                <c:ptCount val="3"/>
                <c:pt idx="0">
                  <c:v>2015</c:v>
                </c:pt>
                <c:pt idx="1">
                  <c:v>2016</c:v>
                </c:pt>
                <c:pt idx="2">
                  <c:v>2017</c:v>
                </c:pt>
              </c:numCache>
            </c:numRef>
          </c:cat>
          <c:val>
            <c:numRef>
              <c:f>Лист1!$B$2:$B$4</c:f>
              <c:numCache>
                <c:formatCode>General</c:formatCode>
                <c:ptCount val="3"/>
                <c:pt idx="0">
                  <c:v>16842.599999999955</c:v>
                </c:pt>
                <c:pt idx="1">
                  <c:v>17136.5</c:v>
                </c:pt>
                <c:pt idx="2">
                  <c:v>17914.8</c:v>
                </c:pt>
              </c:numCache>
            </c:numRef>
          </c:val>
        </c:ser>
        <c:dLbls>
          <c:showVal val="1"/>
        </c:dLbls>
        <c:shape val="box"/>
        <c:axId val="91422080"/>
        <c:axId val="96851072"/>
        <c:axId val="0"/>
      </c:bar3DChart>
      <c:catAx>
        <c:axId val="91422080"/>
        <c:scaling>
          <c:orientation val="minMax"/>
        </c:scaling>
        <c:axPos val="b"/>
        <c:numFmt formatCode="General" sourceLinked="1"/>
        <c:tickLblPos val="nextTo"/>
        <c:crossAx val="96851072"/>
        <c:crosses val="autoZero"/>
        <c:auto val="1"/>
        <c:lblAlgn val="ctr"/>
        <c:lblOffset val="100"/>
      </c:catAx>
      <c:valAx>
        <c:axId val="96851072"/>
        <c:scaling>
          <c:orientation val="minMax"/>
        </c:scaling>
        <c:axPos val="l"/>
        <c:numFmt formatCode="General" sourceLinked="1"/>
        <c:tickLblPos val="nextTo"/>
        <c:crossAx val="91422080"/>
        <c:crosses val="autoZero"/>
        <c:crossBetween val="between"/>
      </c:valAx>
    </c:plotArea>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0"/>
            </a:pPr>
            <a:r>
              <a:rPr lang="ru-RU" sz="1100"/>
              <a:t>Среднемесячная номинальная начисленная заработная плата работников муниципальных общеобразовательных учреждений, руб.</a:t>
            </a:r>
          </a:p>
        </c:rich>
      </c:tx>
    </c:title>
    <c:view3D>
      <c:rAngAx val="1"/>
    </c:view3D>
    <c:plotArea>
      <c:layout/>
      <c:bar3DChart>
        <c:barDir val="col"/>
        <c:grouping val="stacked"/>
        <c:ser>
          <c:idx val="0"/>
          <c:order val="0"/>
          <c:tx>
            <c:strRef>
              <c:f>Лист1!$B$1</c:f>
              <c:strCache>
                <c:ptCount val="1"/>
                <c:pt idx="0">
                  <c:v>Ряд 1</c:v>
                </c:pt>
              </c:strCache>
            </c:strRef>
          </c:tx>
          <c:spPr>
            <a:solidFill>
              <a:srgbClr val="00B050"/>
            </a:solidFill>
          </c:spPr>
          <c:dLbls>
            <c:dLbl>
              <c:idx val="0"/>
              <c:layout>
                <c:manualLayout>
                  <c:x val="1.6203703703703703E-2"/>
                  <c:y val="-0.19895315441590791"/>
                </c:manualLayout>
              </c:layout>
              <c:showVal val="1"/>
            </c:dLbl>
            <c:dLbl>
              <c:idx val="1"/>
              <c:layout>
                <c:manualLayout>
                  <c:x val="-3.7037037037037056E-2"/>
                  <c:y val="-0.35253081584697232"/>
                </c:manualLayout>
              </c:layout>
              <c:showVal val="1"/>
            </c:dLbl>
            <c:dLbl>
              <c:idx val="2"/>
              <c:layout>
                <c:manualLayout>
                  <c:x val="-4.6296296296296641E-3"/>
                  <c:y val="-0.36998254799302227"/>
                </c:manualLayout>
              </c:layout>
              <c:showVal val="1"/>
            </c:dLbl>
            <c:txPr>
              <a:bodyPr/>
              <a:lstStyle/>
              <a:p>
                <a:pPr>
                  <a:defRPr sz="1100" b="1"/>
                </a:pPr>
                <a:endParaRPr lang="ru-RU"/>
              </a:p>
            </c:txPr>
            <c:showVal val="1"/>
          </c:dLbls>
          <c:cat>
            <c:numRef>
              <c:f>Лист1!$A$2:$A$4</c:f>
              <c:numCache>
                <c:formatCode>General</c:formatCode>
                <c:ptCount val="3"/>
                <c:pt idx="0">
                  <c:v>2015</c:v>
                </c:pt>
                <c:pt idx="1">
                  <c:v>2016</c:v>
                </c:pt>
                <c:pt idx="2">
                  <c:v>2017</c:v>
                </c:pt>
              </c:numCache>
            </c:numRef>
          </c:cat>
          <c:val>
            <c:numRef>
              <c:f>Лист1!$B$2:$B$4</c:f>
              <c:numCache>
                <c:formatCode>General</c:formatCode>
                <c:ptCount val="3"/>
                <c:pt idx="0">
                  <c:v>21973.1</c:v>
                </c:pt>
                <c:pt idx="1">
                  <c:v>22410.1</c:v>
                </c:pt>
                <c:pt idx="2">
                  <c:v>22959.599999999955</c:v>
                </c:pt>
              </c:numCache>
            </c:numRef>
          </c:val>
        </c:ser>
        <c:dLbls>
          <c:showVal val="1"/>
        </c:dLbls>
        <c:shape val="box"/>
        <c:axId val="96744576"/>
        <c:axId val="96746112"/>
        <c:axId val="0"/>
      </c:bar3DChart>
      <c:catAx>
        <c:axId val="96744576"/>
        <c:scaling>
          <c:orientation val="minMax"/>
        </c:scaling>
        <c:axPos val="b"/>
        <c:numFmt formatCode="General" sourceLinked="1"/>
        <c:tickLblPos val="nextTo"/>
        <c:crossAx val="96746112"/>
        <c:crosses val="autoZero"/>
        <c:auto val="1"/>
        <c:lblAlgn val="ctr"/>
        <c:lblOffset val="100"/>
      </c:catAx>
      <c:valAx>
        <c:axId val="96746112"/>
        <c:scaling>
          <c:orientation val="minMax"/>
        </c:scaling>
        <c:axPos val="l"/>
        <c:numFmt formatCode="General" sourceLinked="1"/>
        <c:tickLblPos val="nextTo"/>
        <c:crossAx val="96744576"/>
        <c:crosses val="autoZero"/>
        <c:crossBetween val="between"/>
      </c:valAx>
    </c:plotArea>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0"/>
            </a:pPr>
            <a:r>
              <a:rPr lang="ru-RU" sz="1100"/>
              <a:t>Доля детей в возрасте 1-6 лет, получающих дошкольную образовательную услугу, %</a:t>
            </a:r>
          </a:p>
        </c:rich>
      </c:tx>
    </c:title>
    <c:view3D>
      <c:perspective val="30"/>
    </c:view3D>
    <c:plotArea>
      <c:layout/>
      <c:bar3DChart>
        <c:barDir val="col"/>
        <c:grouping val="standard"/>
        <c:ser>
          <c:idx val="0"/>
          <c:order val="0"/>
          <c:tx>
            <c:strRef>
              <c:f>Лист1!$B$1</c:f>
              <c:strCache>
                <c:ptCount val="1"/>
                <c:pt idx="0">
                  <c:v>Ряд 1</c:v>
                </c:pt>
              </c:strCache>
            </c:strRef>
          </c:tx>
          <c:dPt>
            <c:idx val="0"/>
            <c:spPr>
              <a:solidFill>
                <a:schemeClr val="accent1">
                  <a:lumMod val="60000"/>
                  <a:lumOff val="40000"/>
                </a:schemeClr>
              </a:solidFill>
            </c:spPr>
          </c:dPt>
          <c:dPt>
            <c:idx val="2"/>
            <c:spPr>
              <a:solidFill>
                <a:schemeClr val="accent1">
                  <a:lumMod val="75000"/>
                </a:schemeClr>
              </a:solidFill>
            </c:spPr>
          </c:dPt>
          <c:dLbls>
            <c:dLbl>
              <c:idx val="0"/>
              <c:layout>
                <c:manualLayout>
                  <c:x val="2.0833333333333412E-2"/>
                  <c:y val="-3.1746031746031744E-2"/>
                </c:manualLayout>
              </c:layout>
              <c:showVal val="1"/>
            </c:dLbl>
            <c:dLbl>
              <c:idx val="1"/>
              <c:layout>
                <c:manualLayout>
                  <c:x val="2.0833333333333412E-2"/>
                  <c:y val="-5.5555555555555615E-2"/>
                </c:manualLayout>
              </c:layout>
              <c:showVal val="1"/>
            </c:dLbl>
            <c:dLbl>
              <c:idx val="2"/>
              <c:layout>
                <c:manualLayout>
                  <c:x val="1.6203703703703703E-2"/>
                  <c:y val="-3.1746031746031744E-2"/>
                </c:manualLayout>
              </c:layout>
              <c:showVal val="1"/>
            </c:dLbl>
            <c:txPr>
              <a:bodyPr/>
              <a:lstStyle/>
              <a:p>
                <a:pPr>
                  <a:defRPr sz="1200" b="1"/>
                </a:pPr>
                <a:endParaRPr lang="ru-RU"/>
              </a:p>
            </c:txPr>
            <c:showVal val="1"/>
          </c:dLbls>
          <c:cat>
            <c:numRef>
              <c:f>Лист1!$A$2:$A$4</c:f>
              <c:numCache>
                <c:formatCode>General</c:formatCode>
                <c:ptCount val="3"/>
                <c:pt idx="0">
                  <c:v>2015</c:v>
                </c:pt>
                <c:pt idx="1">
                  <c:v>2016</c:v>
                </c:pt>
                <c:pt idx="2">
                  <c:v>2017</c:v>
                </c:pt>
              </c:numCache>
            </c:numRef>
          </c:cat>
          <c:val>
            <c:numRef>
              <c:f>Лист1!$B$2:$B$4</c:f>
              <c:numCache>
                <c:formatCode>General</c:formatCode>
                <c:ptCount val="3"/>
                <c:pt idx="0">
                  <c:v>58.6</c:v>
                </c:pt>
                <c:pt idx="1">
                  <c:v>58.3</c:v>
                </c:pt>
                <c:pt idx="2">
                  <c:v>59.7</c:v>
                </c:pt>
              </c:numCache>
            </c:numRef>
          </c:val>
        </c:ser>
        <c:dLbls>
          <c:showVal val="1"/>
        </c:dLbls>
        <c:shape val="cone"/>
        <c:axId val="96963968"/>
        <c:axId val="96965760"/>
        <c:axId val="91377152"/>
      </c:bar3DChart>
      <c:catAx>
        <c:axId val="96963968"/>
        <c:scaling>
          <c:orientation val="minMax"/>
        </c:scaling>
        <c:axPos val="b"/>
        <c:numFmt formatCode="General" sourceLinked="1"/>
        <c:tickLblPos val="nextTo"/>
        <c:crossAx val="96965760"/>
        <c:crosses val="autoZero"/>
        <c:auto val="1"/>
        <c:lblAlgn val="ctr"/>
        <c:lblOffset val="100"/>
      </c:catAx>
      <c:valAx>
        <c:axId val="96965760"/>
        <c:scaling>
          <c:orientation val="minMax"/>
        </c:scaling>
        <c:axPos val="l"/>
        <c:numFmt formatCode="General" sourceLinked="1"/>
        <c:tickLblPos val="nextTo"/>
        <c:crossAx val="96963968"/>
        <c:crosses val="autoZero"/>
        <c:crossBetween val="between"/>
      </c:valAx>
      <c:serAx>
        <c:axId val="91377152"/>
        <c:scaling>
          <c:orientation val="minMax"/>
        </c:scaling>
        <c:delete val="1"/>
        <c:axPos val="b"/>
        <c:tickLblPos val="none"/>
        <c:crossAx val="96965760"/>
        <c:crosses val="autoZero"/>
      </c:serAx>
      <c:spPr>
        <a:ln>
          <a:noFill/>
        </a:ln>
      </c:spPr>
    </c:plotArea>
    <c:plotVisOnly val="1"/>
    <c:dispBlanksAs val="gap"/>
  </c:chart>
  <c:spPr>
    <a:noFill/>
    <a:ln>
      <a:noFill/>
    </a:ln>
  </c:spPr>
  <c:txPr>
    <a:bodyPr/>
    <a:lstStyle/>
    <a:p>
      <a:pPr>
        <a:defRPr>
          <a:latin typeface="Times New Roman" pitchFamily="18" charset="0"/>
          <a:cs typeface="Times New Roman"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ABCD8-6707-4625-A641-F0394B716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4334</Words>
  <Characters>24706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Предприниматель</dc:creator>
  <cp:lastModifiedBy>Пользователь Windows</cp:lastModifiedBy>
  <cp:revision>2</cp:revision>
  <cp:lastPrinted>2016-04-29T13:27:00Z</cp:lastPrinted>
  <dcterms:created xsi:type="dcterms:W3CDTF">2018-05-08T15:03:00Z</dcterms:created>
  <dcterms:modified xsi:type="dcterms:W3CDTF">2018-05-08T15:03:00Z</dcterms:modified>
</cp:coreProperties>
</file>