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6"/>
        <w:gridCol w:w="3547"/>
        <w:gridCol w:w="178"/>
        <w:gridCol w:w="1511"/>
        <w:gridCol w:w="178"/>
        <w:gridCol w:w="1629"/>
        <w:gridCol w:w="160"/>
        <w:gridCol w:w="160"/>
        <w:gridCol w:w="160"/>
        <w:gridCol w:w="175"/>
      </w:tblGrid>
      <w:tr w:rsidR="00FD67D3" w:rsidRPr="00FD67D3" w:rsidTr="00FD67D3">
        <w:trPr>
          <w:tblCellSpacing w:w="15" w:type="dxa"/>
        </w:trPr>
        <w:tc>
          <w:tcPr>
            <w:tcW w:w="2603" w:type="pct"/>
            <w:vMerge w:val="restar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229" w:type="pct"/>
            <w:gridSpan w:val="5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FD67D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D67D3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D67D3" w:rsidRPr="00FD67D3" w:rsidTr="00FD67D3">
        <w:trPr>
          <w:tblCellSpacing w:w="15" w:type="dxa"/>
        </w:trPr>
        <w:tc>
          <w:tcPr>
            <w:tcW w:w="2603" w:type="pct"/>
            <w:vMerge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FD67D3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8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2603" w:type="pct"/>
            <w:vMerge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48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48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8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2603" w:type="pct"/>
            <w:vMerge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3"/>
        <w:gridCol w:w="476"/>
        <w:gridCol w:w="172"/>
        <w:gridCol w:w="477"/>
        <w:gridCol w:w="173"/>
        <w:gridCol w:w="477"/>
        <w:gridCol w:w="260"/>
        <w:gridCol w:w="1976"/>
      </w:tblGrid>
      <w:tr w:rsidR="00FD67D3" w:rsidRPr="00FD67D3" w:rsidTr="00FD67D3">
        <w:trPr>
          <w:tblCellSpacing w:w="15" w:type="dxa"/>
        </w:trPr>
        <w:tc>
          <w:tcPr>
            <w:tcW w:w="3781" w:type="pct"/>
            <w:vMerge w:val="restar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«26» </w:t>
            </w:r>
          </w:p>
        </w:tc>
        <w:tc>
          <w:tcPr>
            <w:tcW w:w="46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" w:type="pct"/>
            <w:tcBorders>
              <w:bottom w:val="single" w:sz="6" w:space="0" w:color="FFFFFF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73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D67D3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67D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D67D3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FD67D3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D67D3">
              <w:rPr>
                <w:rFonts w:eastAsia="Times New Roman"/>
                <w:b/>
                <w:bCs/>
                <w:lang w:eastAsia="ru-RU"/>
              </w:rPr>
              <w:br/>
              <w:t>на 20</w:t>
            </w:r>
            <w:r w:rsidRPr="00FD67D3">
              <w:rPr>
                <w:rFonts w:eastAsia="Times New Roman"/>
                <w:b/>
                <w:bCs/>
                <w:u w:val="single"/>
                <w:lang w:eastAsia="ru-RU"/>
              </w:rPr>
              <w:t>19</w:t>
            </w:r>
            <w:r w:rsidRPr="00FD67D3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26.12.2018</w:t>
            </w:r>
          </w:p>
        </w:tc>
      </w:tr>
      <w:tr w:rsidR="00FD67D3" w:rsidRPr="00FD67D3" w:rsidTr="00FD67D3">
        <w:tc>
          <w:tcPr>
            <w:tcW w:w="200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D67D3" w:rsidRPr="00FD67D3" w:rsidTr="00FD67D3">
        <w:tc>
          <w:tcPr>
            <w:tcW w:w="200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базовый (0)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26.12.2018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FD67D3" w:rsidRPr="00FD67D3" w:rsidTr="00FD67D3">
        <w:tc>
          <w:tcPr>
            <w:tcW w:w="650" w:type="pct"/>
            <w:gridSpan w:val="2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D67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D67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D67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61926034.85</w:t>
            </w: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5"/>
        <w:gridCol w:w="971"/>
        <w:gridCol w:w="554"/>
        <w:gridCol w:w="578"/>
        <w:gridCol w:w="524"/>
        <w:gridCol w:w="416"/>
        <w:gridCol w:w="437"/>
        <w:gridCol w:w="458"/>
        <w:gridCol w:w="416"/>
        <w:gridCol w:w="349"/>
        <w:gridCol w:w="475"/>
        <w:gridCol w:w="435"/>
        <w:gridCol w:w="340"/>
        <w:gridCol w:w="316"/>
        <w:gridCol w:w="458"/>
        <w:gridCol w:w="362"/>
        <w:gridCol w:w="349"/>
        <w:gridCol w:w="475"/>
        <w:gridCol w:w="531"/>
        <w:gridCol w:w="395"/>
        <w:gridCol w:w="442"/>
        <w:gridCol w:w="506"/>
        <w:gridCol w:w="442"/>
        <w:gridCol w:w="481"/>
        <w:gridCol w:w="532"/>
        <w:gridCol w:w="534"/>
        <w:gridCol w:w="508"/>
        <w:gridCol w:w="544"/>
        <w:gridCol w:w="502"/>
        <w:gridCol w:w="717"/>
        <w:gridCol w:w="466"/>
        <w:gridCol w:w="635"/>
        <w:gridCol w:w="497"/>
      </w:tblGrid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цена контракта, заключаемого с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(периодичность) поставки товаров, выполнения работ, оказани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услуг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Преимущества, предоставля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емые участникам закупки в соответствии со статьями 28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 29 Федерального закона "О контрактной системе в сфере закупок товаров, работ, услуг для обеспечения государст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тельства и социально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ориентирова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Дополнительные требования к участникам закупки отдельных видов товаров, работ,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Сведения о проведении обязательного общественного обсуждения закупк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</w:t>
            </w: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ги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Услуги связи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06.2020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Услуги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Газоснабжение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Услуги по доставке газа до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мемориала "Вечный огонь"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масовой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45045.00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енности безнадзорных животных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светильников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нту светильников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149979.66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Запрос котировок в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эксплуатации водопроводного узла микрорай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она Шахтинский города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эксплуатации водопроводного узла микрорай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она Шахтинский города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2350000.00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193711500446071150100100340013811244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Услуги по сбору, транспортированию и размещению твердых коммунальных отходов (ТКО)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Техническое содержание и ремонт газового оборудования и газопроводов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193711500446071150100100390017112414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Разра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ботка проектно-сметной документации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16046.10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80230.51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Товары, работы или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668684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.61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588684.61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193711500446071150100100370010000242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gridSpan w:val="4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62613858.32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63282542.93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59631542.93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3651000.00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D67D3" w:rsidRPr="00FD67D3" w:rsidTr="00FD67D3">
        <w:tc>
          <w:tcPr>
            <w:tcW w:w="0" w:type="auto"/>
            <w:gridSpan w:val="4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547954.63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FD67D3" w:rsidRPr="00FD67D3" w:rsidTr="00FD67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D67D3">
              <w:rPr>
                <w:rFonts w:eastAsia="Times New Roman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FD67D3" w:rsidRPr="00FD67D3" w:rsidTr="00FD67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D67D3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FD67D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FD67D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D67D3" w:rsidRPr="00FD67D3" w:rsidRDefault="00FD67D3" w:rsidP="00FD67D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FD67D3" w:rsidRPr="00FD67D3" w:rsidTr="00FD67D3">
        <w:tc>
          <w:tcPr>
            <w:tcW w:w="2000" w:type="pct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FD67D3">
              <w:rPr>
                <w:rFonts w:eastAsia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5"/>
        <w:gridCol w:w="1375"/>
        <w:gridCol w:w="2267"/>
        <w:gridCol w:w="1134"/>
        <w:gridCol w:w="1985"/>
        <w:gridCol w:w="2126"/>
        <w:gridCol w:w="2268"/>
        <w:gridCol w:w="1843"/>
        <w:gridCol w:w="1417"/>
        <w:gridCol w:w="1070"/>
      </w:tblGrid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</w:t>
            </w: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193711500446071150100100230013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522244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поставке газа на мемориал «Вечный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огонь», расположенный по адресу: Тульская область,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приказ ФСТ России от 09.07.2014г. № 1142-Э, приказ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ФАС России от 13.06.2017г. № 775/17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поставщика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ст. 93 ч. 1 п. 8, ФЗ от 05.04.2013г.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193711500446071150100100270017500244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47000000.00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193711500446071150100100340013811244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28.11.2018 № 42/1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7400000.00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150100100390017112414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809053.45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ст. 93 ч. 1 п. 6, ФЗ 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05.04.2013г. №44-ФЗ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D67D3" w:rsidRPr="00FD67D3" w:rsidTr="00FD67D3">
        <w:tc>
          <w:tcPr>
            <w:tcW w:w="43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37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193711500446071150100100370010000242</w:t>
            </w:r>
          </w:p>
        </w:tc>
        <w:tc>
          <w:tcPr>
            <w:tcW w:w="226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>588684.61</w:t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FD67D3">
              <w:rPr>
                <w:rFonts w:eastAsia="Times New Roman"/>
                <w:sz w:val="15"/>
                <w:szCs w:val="15"/>
                <w:lang w:eastAsia="ru-RU"/>
              </w:rPr>
              <w:br/>
              <w:t>80000.00</w:t>
            </w:r>
          </w:p>
        </w:tc>
        <w:tc>
          <w:tcPr>
            <w:tcW w:w="1985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FD67D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843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FD67D3" w:rsidRPr="00FD67D3" w:rsidRDefault="00FD67D3" w:rsidP="00FD67D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FD67D3" w:rsidRPr="00FD67D3" w:rsidTr="00FD67D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FD67D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FD67D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«26»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D67D3">
              <w:rPr>
                <w:rFonts w:eastAsia="Times New Roman"/>
                <w:lang w:eastAsia="ru-RU"/>
              </w:rPr>
              <w:t>г</w:t>
            </w:r>
            <w:proofErr w:type="gramEnd"/>
            <w:r w:rsidRPr="00FD67D3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67D3" w:rsidRPr="00FD67D3" w:rsidTr="00FD6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lang w:eastAsia="ru-RU"/>
              </w:rPr>
            </w:pPr>
            <w:r w:rsidRPr="00FD67D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7D3" w:rsidRPr="00FD67D3" w:rsidRDefault="00FD67D3" w:rsidP="00FD67D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FD67D3"/>
    <w:sectPr w:rsidR="00DC25B2" w:rsidSect="005D6E9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6E96"/>
    <w:rsid w:val="00305D20"/>
    <w:rsid w:val="005A6B7E"/>
    <w:rsid w:val="005D6E96"/>
    <w:rsid w:val="00864EAB"/>
    <w:rsid w:val="00867ED9"/>
    <w:rsid w:val="00DC25B2"/>
    <w:rsid w:val="00E36004"/>
    <w:rsid w:val="00FD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D67D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valuetable">
    <w:name w:val="valuetable"/>
    <w:basedOn w:val="a"/>
    <w:rsid w:val="00FD67D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FD67D3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FD67D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FD67D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FD67D3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FD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4252</Words>
  <Characters>24240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4</cp:revision>
  <dcterms:created xsi:type="dcterms:W3CDTF">2018-12-28T09:00:00Z</dcterms:created>
  <dcterms:modified xsi:type="dcterms:W3CDTF">2018-12-28T09:37:00Z</dcterms:modified>
</cp:coreProperties>
</file>