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2" w:rsidRPr="005B7591" w:rsidRDefault="00AB0AC2" w:rsidP="005B7591">
      <w:pPr>
        <w:jc w:val="right"/>
        <w:rPr>
          <w:rFonts w:ascii="PT Astra Serif" w:hAnsi="PT Astra Serif" w:cs="Arial"/>
          <w:b/>
          <w:color w:val="000000"/>
          <w:sz w:val="26"/>
          <w:szCs w:val="26"/>
          <w:shd w:val="clear" w:color="auto" w:fill="FFFFFF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AB0AC2" w:rsidRPr="00DC0E55" w:rsidTr="00CA281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C2" w:rsidRPr="00DC0E55" w:rsidRDefault="00AB0AC2" w:rsidP="00CA2813">
            <w:pPr>
              <w:pStyle w:val="Standard"/>
              <w:tabs>
                <w:tab w:val="center" w:pos="4677"/>
                <w:tab w:val="right" w:pos="9354"/>
              </w:tabs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</w:pPr>
            <w:r w:rsidRPr="00DC0E55">
              <w:rPr>
                <w:rFonts w:ascii="PT Astra Serif" w:hAnsi="PT Astra Serif"/>
                <w:b/>
                <w:caps/>
                <w:sz w:val="28"/>
                <w:szCs w:val="28"/>
              </w:rPr>
              <w:t>Тульская область</w:t>
            </w:r>
          </w:p>
        </w:tc>
      </w:tr>
      <w:tr w:rsidR="00AB0AC2" w:rsidRPr="00DC0E55" w:rsidTr="00CA281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</w:rPr>
            </w:pPr>
            <w:r w:rsidRPr="00DC0E55">
              <w:rPr>
                <w:rFonts w:ascii="PT Astra Serif" w:hAnsi="PT Astra Serif"/>
                <w:b/>
                <w:caps/>
                <w:sz w:val="28"/>
                <w:szCs w:val="28"/>
              </w:rPr>
              <w:t>Собрание депутатов</w:t>
            </w:r>
          </w:p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</w:pPr>
            <w:r w:rsidRPr="00DC0E55">
              <w:rPr>
                <w:rFonts w:ascii="PT Astra Serif" w:hAnsi="PT Astra Serif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</w:rPr>
            </w:pPr>
            <w:r w:rsidRPr="00DC0E55"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  <w:t xml:space="preserve">Епифанское </w:t>
            </w:r>
            <w:r w:rsidRPr="00DC0E55">
              <w:rPr>
                <w:rFonts w:ascii="PT Astra Serif" w:hAnsi="PT Astra Serif"/>
                <w:b/>
                <w:caps/>
                <w:sz w:val="28"/>
                <w:szCs w:val="28"/>
              </w:rPr>
              <w:t>Кимовского района</w:t>
            </w:r>
          </w:p>
        </w:tc>
      </w:tr>
      <w:tr w:rsidR="00AB0AC2" w:rsidRPr="00DC0E55" w:rsidTr="00CA281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C2" w:rsidRPr="00DC0E55" w:rsidRDefault="006A1219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 w:eastAsia="en-US"/>
              </w:rPr>
            </w:pPr>
            <w:r>
              <w:rPr>
                <w:rFonts w:ascii="PT Astra Serif" w:hAnsi="PT Astra Serif"/>
                <w:b/>
                <w:caps/>
                <w:sz w:val="28"/>
                <w:szCs w:val="28"/>
                <w:lang w:val="ru-RU" w:eastAsia="en-US"/>
              </w:rPr>
              <w:t>2</w:t>
            </w:r>
            <w:r w:rsidR="00AB0AC2" w:rsidRPr="00DC0E55">
              <w:rPr>
                <w:rFonts w:ascii="PT Astra Serif" w:hAnsi="PT Astra Serif"/>
                <w:b/>
                <w:caps/>
                <w:sz w:val="28"/>
                <w:szCs w:val="28"/>
                <w:lang w:eastAsia="en-US"/>
              </w:rPr>
              <w:t>-го созыва</w:t>
            </w:r>
          </w:p>
        </w:tc>
      </w:tr>
      <w:tr w:rsidR="00AB0AC2" w:rsidRPr="00DC0E55" w:rsidTr="00CA281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</w:rPr>
            </w:pPr>
          </w:p>
          <w:p w:rsidR="00AB0AC2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</w:pPr>
            <w:r w:rsidRPr="00DC0E55">
              <w:rPr>
                <w:rFonts w:ascii="PT Astra Serif" w:hAnsi="PT Astra Serif"/>
                <w:b/>
                <w:caps/>
                <w:sz w:val="28"/>
                <w:szCs w:val="28"/>
              </w:rPr>
              <w:t>Решение</w:t>
            </w:r>
          </w:p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AB0AC2" w:rsidRPr="009C4E0F" w:rsidTr="00CA2813">
              <w:tc>
                <w:tcPr>
                  <w:tcW w:w="4669" w:type="dxa"/>
                </w:tcPr>
                <w:p w:rsidR="00AB0AC2" w:rsidRPr="0065145E" w:rsidRDefault="00AB0AC2" w:rsidP="00040111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65145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 w:rsidR="00B276E0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</w:rPr>
                    <w:t xml:space="preserve"> </w:t>
                  </w:r>
                  <w:r w:rsidR="0052689B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</w:rPr>
                    <w:t>11.04</w:t>
                  </w:r>
                  <w:bookmarkStart w:id="0" w:name="_GoBack"/>
                  <w:bookmarkEnd w:id="0"/>
                  <w:r w:rsidR="003056EC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70" w:type="dxa"/>
                </w:tcPr>
                <w:p w:rsidR="00AB0AC2" w:rsidRPr="0065145E" w:rsidRDefault="00AB0AC2" w:rsidP="00CA2813">
                  <w:pPr>
                    <w:pStyle w:val="Standard"/>
                    <w:rPr>
                      <w:rFonts w:ascii="PT Astra Serif" w:hAnsi="PT Astra Serif"/>
                      <w:b/>
                      <w:caps/>
                      <w:sz w:val="28"/>
                      <w:szCs w:val="28"/>
                      <w:lang w:val="ru-RU"/>
                    </w:rPr>
                  </w:pPr>
                  <w:r w:rsidRPr="0065145E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="00B276E0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  <w:lang w:val="ru-RU"/>
                    </w:rPr>
                    <w:t xml:space="preserve"> </w:t>
                  </w:r>
                  <w:r w:rsidR="00040111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  <w:lang w:val="ru-RU"/>
                    </w:rPr>
                    <w:t xml:space="preserve">                        № </w:t>
                  </w:r>
                  <w:r w:rsidR="0052689B">
                    <w:rPr>
                      <w:rFonts w:ascii="PT Astra Serif" w:hAnsi="PT Astra Serif"/>
                      <w:b/>
                      <w:caps/>
                      <w:sz w:val="28"/>
                      <w:szCs w:val="28"/>
                      <w:lang w:val="ru-RU"/>
                    </w:rPr>
                    <w:t>70-237</w:t>
                  </w:r>
                </w:p>
              </w:tc>
            </w:tr>
          </w:tbl>
          <w:p w:rsidR="00AB0AC2" w:rsidRPr="00DC0E55" w:rsidRDefault="00AB0AC2" w:rsidP="00CA281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sz w:val="28"/>
                <w:szCs w:val="28"/>
                <w:lang w:val="ru-RU"/>
              </w:rPr>
            </w:pPr>
          </w:p>
        </w:tc>
      </w:tr>
    </w:tbl>
    <w:p w:rsidR="00AB0AC2" w:rsidRPr="000F18B7" w:rsidRDefault="00AB0AC2" w:rsidP="00AB0AC2">
      <w:pPr>
        <w:contextualSpacing/>
        <w:rPr>
          <w:rFonts w:ascii="PT Astra Serif" w:hAnsi="PT Astra Serif"/>
          <w:b/>
          <w:color w:val="000000"/>
          <w:sz w:val="26"/>
          <w:szCs w:val="26"/>
        </w:rPr>
      </w:pPr>
    </w:p>
    <w:p w:rsidR="00AB0AC2" w:rsidRDefault="00AB0AC2" w:rsidP="00AB0AC2">
      <w:pPr>
        <w:contextualSpacing/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0F18B7">
        <w:rPr>
          <w:rFonts w:ascii="PT Astra Serif" w:hAnsi="PT Astra Serif"/>
          <w:b/>
          <w:color w:val="000000"/>
          <w:sz w:val="30"/>
          <w:szCs w:val="30"/>
        </w:rPr>
        <w:t>О внесении изменений в Устав муниципального образования Епифанское Кимовского района</w:t>
      </w:r>
    </w:p>
    <w:p w:rsidR="00AB0AC2" w:rsidRPr="000F18B7" w:rsidRDefault="00AB0AC2" w:rsidP="00AB0AC2">
      <w:pPr>
        <w:contextualSpacing/>
        <w:rPr>
          <w:rFonts w:ascii="PT Astra Serif" w:hAnsi="PT Astra Serif"/>
          <w:b/>
          <w:color w:val="000000"/>
          <w:sz w:val="30"/>
          <w:szCs w:val="30"/>
        </w:rPr>
      </w:pPr>
    </w:p>
    <w:p w:rsidR="00AB0AC2" w:rsidRPr="00FE756B" w:rsidRDefault="00AB0AC2" w:rsidP="00AB0AC2">
      <w:pPr>
        <w:ind w:firstLine="709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E756B">
        <w:rPr>
          <w:rFonts w:ascii="PT Astra Serif" w:hAnsi="PT Astra Serif"/>
          <w:color w:val="000000"/>
          <w:sz w:val="28"/>
          <w:szCs w:val="28"/>
        </w:rPr>
        <w:t xml:space="preserve">В целях приведения Устава муниципального образования Епифанское Кимовского района в соответствии с требованиями Федерального закона </w:t>
      </w:r>
      <w:r w:rsidR="001906E9">
        <w:rPr>
          <w:rFonts w:ascii="PT Astra Serif" w:hAnsi="PT Astra Serif"/>
          <w:color w:val="000000"/>
          <w:sz w:val="28"/>
          <w:szCs w:val="28"/>
        </w:rPr>
        <w:br/>
      </w:r>
      <w:r w:rsidRPr="00FE756B">
        <w:rPr>
          <w:rFonts w:ascii="PT Astra Serif" w:hAnsi="PT Astra Serif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FE756B">
        <w:rPr>
          <w:rFonts w:ascii="PT Astra Serif" w:hAnsi="PT Astra Serif"/>
          <w:b/>
          <w:color w:val="000000"/>
          <w:sz w:val="28"/>
          <w:szCs w:val="28"/>
        </w:rPr>
        <w:t>РЕШИЛО:</w:t>
      </w:r>
    </w:p>
    <w:p w:rsidR="00AB0AC2" w:rsidRPr="00FE756B" w:rsidRDefault="00AB0AC2" w:rsidP="007D0BD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E756B">
        <w:rPr>
          <w:rFonts w:ascii="PT Astra Serif" w:hAnsi="PT Astra Serif"/>
          <w:b/>
          <w:color w:val="000000"/>
          <w:sz w:val="28"/>
          <w:szCs w:val="28"/>
        </w:rPr>
        <w:t>1.</w:t>
      </w:r>
      <w:r w:rsidR="007D0BD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FE756B">
        <w:rPr>
          <w:rFonts w:ascii="PT Astra Serif" w:hAnsi="PT Astra Serif"/>
          <w:color w:val="000000"/>
          <w:sz w:val="28"/>
          <w:szCs w:val="28"/>
        </w:rPr>
        <w:t>Внести в Устав муниципального образования Епифанское Кимовского района следующие изменения:</w:t>
      </w:r>
    </w:p>
    <w:p w:rsidR="00816DB6" w:rsidRDefault="00040111" w:rsidP="007D0BD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1.1. </w:t>
      </w:r>
      <w:r w:rsidR="00816DB6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В</w:t>
      </w:r>
      <w:r w:rsidR="001906E9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стать</w:t>
      </w:r>
      <w:r w:rsidR="00816DB6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21.1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40111" w:rsidRPr="00040111" w:rsidRDefault="00816DB6" w:rsidP="007D0BD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а) часть 2 </w:t>
      </w:r>
      <w:r w:rsidR="0004011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175DC7" w:rsidRDefault="00040111" w:rsidP="007D0BD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«2.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</w:t>
      </w:r>
      <w:r w:rsidR="00175DC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816DB6" w:rsidRDefault="00816DB6" w:rsidP="00816DB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б) дополнить частями 2.1, 2.2 следующего содержания:</w:t>
      </w:r>
    </w:p>
    <w:p w:rsidR="00816DB6" w:rsidRPr="009C65C0" w:rsidRDefault="00816DB6" w:rsidP="00816DB6">
      <w:pPr>
        <w:spacing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«2.1. 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16DB6" w:rsidRPr="009C65C0" w:rsidRDefault="00816DB6" w:rsidP="00816DB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Старостой сельского населенного пункта не может быть назначено лицо:</w:t>
      </w:r>
    </w:p>
    <w:p w:rsidR="00816DB6" w:rsidRPr="009C65C0" w:rsidRDefault="00816DB6" w:rsidP="00816DB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1) замещающее государственную должность, должность государственной гражданской службы, муниципальную должность</w:t>
      </w:r>
      <w:r w:rsidRPr="00C75A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должность муниципальной службы;</w:t>
      </w:r>
    </w:p>
    <w:p w:rsidR="00816DB6" w:rsidRPr="009C65C0" w:rsidRDefault="00816DB6" w:rsidP="00816DB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2) признанное судом недееспособным или ограниченно дееспособным;</w:t>
      </w:r>
    </w:p>
    <w:p w:rsidR="00816DB6" w:rsidRPr="009C65C0" w:rsidRDefault="00816DB6" w:rsidP="00816DB6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3) имеющее непогашенную или неснятую судимость.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».</w:t>
      </w:r>
    </w:p>
    <w:p w:rsidR="00AB0AC2" w:rsidRDefault="009C65C0" w:rsidP="009C65C0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1.2. Статью 3</w:t>
      </w:r>
      <w:r w:rsidR="001906E9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3 дополнить частью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 2.1 </w:t>
      </w:r>
      <w:r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9C65C0" w:rsidRPr="009C65C0" w:rsidRDefault="009C65C0" w:rsidP="009C65C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«2.1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Полномочия депутата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Собрания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депутатов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муниципального образования прекращаются досрочно решением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Собрания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депутатов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муниципального образования в случае отсутствия депутата без уважительных причин на всех заседаниях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Собрания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1906E9" w:rsidRP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депутатов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муниципального образования в течение шести месяцев подряд.»</w:t>
      </w:r>
      <w:r w:rsidR="001906E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1906E9" w:rsidRDefault="001906E9" w:rsidP="001906E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2. </w:t>
      </w:r>
      <w:r>
        <w:rPr>
          <w:rFonts w:ascii="PT Astra Serif" w:hAnsi="PT Astra Serif" w:cs="Arial"/>
          <w:color w:val="000000"/>
          <w:sz w:val="28"/>
          <w:szCs w:val="28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906E9" w:rsidRDefault="001906E9" w:rsidP="001906E9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3. </w:t>
      </w:r>
      <w:r>
        <w:rPr>
          <w:rFonts w:ascii="PT Astra Serif" w:hAnsi="PT Astra Serif" w:cs="Arial"/>
          <w:color w:val="000000"/>
          <w:sz w:val="28"/>
          <w:szCs w:val="28"/>
        </w:rPr>
        <w:t>Настоящее решение подлежит официальному опубликованию в газете «Районные будни. Кимовский район» после государственной регистрации и вступает в силу со дня официального опубликования.</w:t>
      </w:r>
    </w:p>
    <w:p w:rsidR="005A2E8D" w:rsidRDefault="005A2E8D" w:rsidP="00803B1B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9C65C0" w:rsidRPr="00CF634A" w:rsidRDefault="009C65C0" w:rsidP="00C75AD0">
      <w:pPr>
        <w:spacing w:after="0" w:line="24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B0AC2" w:rsidRPr="007F2BD1" w:rsidTr="00CA2813">
        <w:tc>
          <w:tcPr>
            <w:tcW w:w="4957" w:type="dxa"/>
          </w:tcPr>
          <w:p w:rsidR="00AB0AC2" w:rsidRPr="00CF634A" w:rsidRDefault="00AB0AC2" w:rsidP="007D0B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634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AB0AC2" w:rsidRPr="00CF634A" w:rsidRDefault="00AB0AC2" w:rsidP="007D0B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634A">
              <w:rPr>
                <w:rFonts w:ascii="PT Astra Serif" w:hAnsi="PT Astra Serif"/>
                <w:b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4388" w:type="dxa"/>
          </w:tcPr>
          <w:p w:rsidR="00AB0AC2" w:rsidRPr="00CF634A" w:rsidRDefault="00AB0AC2" w:rsidP="007D0BD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B0AC2" w:rsidRPr="007F2BD1" w:rsidRDefault="00AB0AC2" w:rsidP="007D0BD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F634A">
              <w:rPr>
                <w:rFonts w:ascii="PT Astra Serif" w:hAnsi="PT Astra Serif"/>
                <w:b/>
                <w:sz w:val="28"/>
                <w:szCs w:val="28"/>
              </w:rPr>
              <w:t>Н. Д. Алтухова</w:t>
            </w:r>
          </w:p>
        </w:tc>
      </w:tr>
    </w:tbl>
    <w:p w:rsidR="002B7F4E" w:rsidRDefault="0052689B" w:rsidP="007D0BD6">
      <w:pPr>
        <w:spacing w:after="0" w:line="240" w:lineRule="auto"/>
      </w:pPr>
    </w:p>
    <w:sectPr w:rsidR="002B7F4E" w:rsidSect="00B1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C2"/>
    <w:rsid w:val="00040111"/>
    <w:rsid w:val="000B2A81"/>
    <w:rsid w:val="00175DC7"/>
    <w:rsid w:val="001906E9"/>
    <w:rsid w:val="003056EC"/>
    <w:rsid w:val="003D0FB6"/>
    <w:rsid w:val="0052689B"/>
    <w:rsid w:val="00536466"/>
    <w:rsid w:val="005A2E8D"/>
    <w:rsid w:val="005B7591"/>
    <w:rsid w:val="006A1219"/>
    <w:rsid w:val="007D0BD6"/>
    <w:rsid w:val="00803B1B"/>
    <w:rsid w:val="00816DB6"/>
    <w:rsid w:val="0099678F"/>
    <w:rsid w:val="009C65C0"/>
    <w:rsid w:val="00AB0AC2"/>
    <w:rsid w:val="00AB0AF2"/>
    <w:rsid w:val="00B126AF"/>
    <w:rsid w:val="00B276E0"/>
    <w:rsid w:val="00C75AD0"/>
    <w:rsid w:val="00CD6378"/>
    <w:rsid w:val="00CF634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CE0B"/>
  <w15:docId w15:val="{4034EF27-F76D-4FCE-89D0-01C5300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0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AB0AC2"/>
    <w:rPr>
      <w:color w:val="0000FF"/>
      <w:u w:val="single"/>
    </w:rPr>
  </w:style>
  <w:style w:type="table" w:styleId="a4">
    <w:name w:val="Table Grid"/>
    <w:basedOn w:val="a1"/>
    <w:uiPriority w:val="39"/>
    <w:rsid w:val="00AB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65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6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2023-03-29T12:51:00Z</cp:lastPrinted>
  <dcterms:created xsi:type="dcterms:W3CDTF">2023-03-15T11:35:00Z</dcterms:created>
  <dcterms:modified xsi:type="dcterms:W3CDTF">2023-05-15T12:12:00Z</dcterms:modified>
</cp:coreProperties>
</file>