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BD1A5B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</w:t>
      </w:r>
      <w:r w:rsidRPr="00BD1A5B">
        <w:rPr>
          <w:rFonts w:ascii="PT Astra Serif" w:hAnsi="PT Astra Serif"/>
          <w:sz w:val="28"/>
          <w:szCs w:val="28"/>
        </w:rPr>
        <w:lastRenderedPageBreak/>
        <w:t>учреждении культуры «Кимовская межпоселенческая центральная районная библиотека».</w:t>
      </w:r>
    </w:p>
    <w:p w:rsidR="00134468" w:rsidRPr="00BD1A5B" w:rsidRDefault="00134468" w:rsidP="00134468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BD1A5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134468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0D580C">
        <w:tc>
          <w:tcPr>
            <w:tcW w:w="4928" w:type="dxa"/>
          </w:tcPr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0D580C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0D580C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0D580C">
        <w:tc>
          <w:tcPr>
            <w:tcW w:w="4928" w:type="dxa"/>
            <w:hideMark/>
          </w:tcPr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0D580C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0D580C">
        <w:tc>
          <w:tcPr>
            <w:tcW w:w="4928" w:type="dxa"/>
            <w:hideMark/>
          </w:tcPr>
          <w:p w:rsidR="00134468" w:rsidRPr="00BD1A5B" w:rsidRDefault="00134468" w:rsidP="000D580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0D580C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0D580C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доступности музыкального искусства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486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культуры по отношению к уровню 2010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Pr="00DD6272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16DF4" w:rsidRPr="00DD6272" w:rsidTr="003337F8">
        <w:trPr>
          <w:jc w:val="center"/>
        </w:trPr>
        <w:tc>
          <w:tcPr>
            <w:tcW w:w="3085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2A306B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380429,7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72774,8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70643,3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78135,0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72902,1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 w:rsidR="00115C64">
              <w:rPr>
                <w:rFonts w:ascii="PT Astra Serif" w:hAnsi="PT Astra Serif"/>
                <w:sz w:val="28"/>
                <w:szCs w:val="28"/>
              </w:rPr>
              <w:t>3021,6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 w:rsidR="00FC5444"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2022- 2717,7 тыс.руб.</w:t>
            </w:r>
          </w:p>
          <w:p w:rsidR="00115C64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115C64">
              <w:rPr>
                <w:rFonts w:ascii="PT Astra Serif" w:hAnsi="PT Astra Serif"/>
                <w:sz w:val="28"/>
                <w:szCs w:val="28"/>
              </w:rPr>
              <w:t>48528,7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8349,4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8517,0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16219,5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7946,9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115C64">
              <w:rPr>
                <w:rFonts w:ascii="PT Astra Serif" w:hAnsi="PT Astra Serif"/>
                <w:sz w:val="28"/>
                <w:szCs w:val="28"/>
              </w:rPr>
              <w:t>314511,1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61834,7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56788,9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59108,6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61728,3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 w:rsidR="00115C64">
              <w:rPr>
                <w:rFonts w:ascii="PT Astra Serif" w:hAnsi="PT Astra Serif"/>
                <w:sz w:val="28"/>
                <w:szCs w:val="28"/>
              </w:rPr>
              <w:t>500</w:t>
            </w:r>
            <w:r w:rsidR="00870CD3">
              <w:rPr>
                <w:rFonts w:ascii="PT Astra Serif" w:hAnsi="PT Astra Serif"/>
                <w:sz w:val="28"/>
                <w:szCs w:val="28"/>
              </w:rPr>
              <w:t>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13660,2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2540,7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2619,7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2706,9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2726,9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138259,8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26140,6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25953,6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33204,1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26627,0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2617,7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115C64" w:rsidRPr="00702620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2022-2617,7 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27131,5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3676,1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4828,1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12364,1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4091,5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108302,5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22464,5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18299,7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22535,5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 w:rsidR="00115C64">
              <w:rPr>
                <w:rFonts w:ascii="PT Astra Serif" w:hAnsi="PT Astra Serif"/>
                <w:sz w:val="28"/>
                <w:szCs w:val="28"/>
              </w:rPr>
              <w:t>36360,5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5910,0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7433,2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4215,6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 w:rsidR="00115C64"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 w:rsidR="00115C64">
              <w:rPr>
                <w:rFonts w:ascii="PT Astra Serif" w:hAnsi="PT Astra Serif"/>
                <w:sz w:val="28"/>
                <w:szCs w:val="28"/>
              </w:rPr>
              <w:t>28466,4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4500,0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6063,9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2A306B" w:rsidRPr="00702620" w:rsidRDefault="00115C64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3678,5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– 1028,5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3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7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8F068F">
              <w:rPr>
                <w:rFonts w:ascii="PT Astra Serif" w:hAnsi="PT Astra Serif"/>
                <w:sz w:val="28"/>
                <w:szCs w:val="28"/>
              </w:rPr>
              <w:t>85948,2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17988,4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14579,8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14855,1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15679,3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8F068F">
              <w:rPr>
                <w:rFonts w:ascii="PT Astra Serif" w:hAnsi="PT Astra Serif" w:cs="Times New Roman"/>
                <w:sz w:val="28"/>
                <w:szCs w:val="28"/>
              </w:rPr>
              <w:t>403,9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2021-50,0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2022-100,0 тыс. руб.</w:t>
            </w:r>
          </w:p>
          <w:p w:rsidR="008F068F" w:rsidRPr="00702620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2023-100,0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14610,8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70CD3"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3463,3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2449,6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2579,3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2579,3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8F068F">
              <w:rPr>
                <w:rFonts w:ascii="PT Astra Serif" w:hAnsi="PT Astra Serif"/>
                <w:sz w:val="28"/>
                <w:szCs w:val="28"/>
              </w:rPr>
              <w:t>70933,5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14475,1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12030,2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12175,8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13100,0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119361,2</w:t>
            </w:r>
            <w:r w:rsidR="002A306B"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22735,8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22884,8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2570,8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 w:rsidR="00FC4B0A">
              <w:rPr>
                <w:rFonts w:ascii="PT Astra Serif" w:hAnsi="PT Astra Serif"/>
                <w:sz w:val="28"/>
                <w:szCs w:val="28"/>
              </w:rPr>
              <w:t>106808,7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9981,7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1989,7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г. Кимовск -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7D70F5" w:rsidRPr="008A4186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</w:p>
          <w:p w:rsidR="002E1629" w:rsidRPr="00DD6272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</w:t>
            </w:r>
            <w:r w:rsidR="007236EE">
              <w:rPr>
                <w:rFonts w:ascii="PT Astra Serif" w:hAnsi="PT Astra Serif"/>
                <w:sz w:val="28"/>
                <w:szCs w:val="28"/>
              </w:rPr>
              <w:t>ов культурного наследия, до 26,5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%;</w:t>
            </w:r>
          </w:p>
        </w:tc>
      </w:tr>
    </w:tbl>
    <w:p w:rsidR="00A36E2E" w:rsidRPr="00DD6272" w:rsidRDefault="00A36E2E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D6272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0C0065" w:rsidRPr="00DD6272" w:rsidRDefault="000C0065" w:rsidP="000C0065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FC4B0A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FC4B0A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FC4B0A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4644" w:rsidRPr="00DD6272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96262,0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16834,5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4B0A" w:rsidRPr="00FC4B0A" w:rsidRDefault="00FC4B0A" w:rsidP="00FC4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96262,0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16834,5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в области культуры и досуга населения в муниципальном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51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FC4B0A" w:rsidP="00FC4B0A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культурно-досугового учреждения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8806,7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2617,7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968,2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2022-968,2</w:t>
            </w:r>
          </w:p>
        </w:tc>
        <w:tc>
          <w:tcPr>
            <w:tcW w:w="1842" w:type="dxa"/>
          </w:tcPr>
          <w:p w:rsidR="00A500DD" w:rsidRDefault="00A500DD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5220</w:t>
            </w:r>
            <w:r w:rsidR="00FC4B0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E44644" w:rsidRDefault="00FC4B0A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12,7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A500DD" w:rsidRPr="00FC4B0A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A500DD" w:rsidP="007236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 сельского 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8441,4</w:t>
            </w:r>
          </w:p>
          <w:p w:rsidR="00E44644" w:rsidRPr="00FC4B0A" w:rsidRDefault="00E44644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8441,4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8272,6</w:t>
            </w:r>
          </w:p>
          <w:p w:rsidR="00E44644" w:rsidRPr="00FC4B0A" w:rsidRDefault="00E44644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8272,6</w:t>
            </w: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A500DD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1.8 Обеспечение 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b/>
                <w:sz w:val="28"/>
                <w:szCs w:val="28"/>
              </w:rPr>
              <w:t>6280,0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2021-1420,0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b/>
                <w:sz w:val="28"/>
                <w:szCs w:val="28"/>
              </w:rPr>
              <w:t>6280,0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2021-1420,0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138259,8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26140,6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25953,6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33204,1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26627,0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2617,7</w:t>
            </w:r>
          </w:p>
          <w:p w:rsidR="00E44644" w:rsidRPr="00FC4B0A" w:rsidRDefault="00A500DD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27131,5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4828,1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12364,1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108510,6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22464,5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18299,7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20840,0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22535,5</w:t>
            </w:r>
          </w:p>
          <w:p w:rsidR="00887E22" w:rsidRPr="00FC4B0A" w:rsidRDefault="00887E22" w:rsidP="00887E2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Бюджет сельских поселений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 ФУАМО</w:t>
            </w: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589" w:rsidRPr="00DD6272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500D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31789,4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A500DD"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5138,5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28326,4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4470,0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3463,0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598,5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618,5</w:t>
            </w:r>
          </w:p>
          <w:p w:rsidR="00DC65FF" w:rsidRPr="00DC65FF" w:rsidRDefault="00DC65FF" w:rsidP="00753F14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620,0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C65FF" w:rsidRDefault="00753F14" w:rsidP="00753F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215,5</w:t>
            </w:r>
          </w:p>
          <w:p w:rsidR="00753F14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DC65FF" w:rsidRPr="00DC65FF" w:rsidRDefault="00753F14" w:rsidP="00753F1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36360,5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5910,0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7433,2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7490,0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7510,0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28466,4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4500,0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2023-6063,9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2024-6063,9</w:t>
            </w:r>
          </w:p>
        </w:tc>
        <w:tc>
          <w:tcPr>
            <w:tcW w:w="1701" w:type="dxa"/>
          </w:tcPr>
          <w:p w:rsidR="00DC65FF" w:rsidRPr="00DC65FF" w:rsidRDefault="007D7238" w:rsidP="007D7238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3678,5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</w:t>
            </w:r>
            <w:r w:rsidR="007D7238">
              <w:rPr>
                <w:rFonts w:ascii="PT Astra Serif" w:hAnsi="PT Astra Serif"/>
                <w:sz w:val="28"/>
                <w:szCs w:val="28"/>
              </w:rPr>
              <w:t>3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</w:t>
            </w:r>
            <w:r w:rsidR="007D7238"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 w:rsidR="007D7238">
              <w:rPr>
                <w:rFonts w:ascii="PT Astra Serif" w:hAnsi="PT Astra Serif"/>
                <w:sz w:val="28"/>
                <w:szCs w:val="28"/>
              </w:rPr>
              <w:t>7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70456,0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14316,3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70456,0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14316,3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 w:rsidR="00F81C03">
              <w:rPr>
                <w:rFonts w:ascii="PT Astra Serif" w:hAnsi="PT Astra Serif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1881,9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F81C03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1638,0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1116,7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243,9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68,8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F81C03">
        <w:trPr>
          <w:trHeight w:val="2273"/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559" w:type="dxa"/>
          </w:tcPr>
          <w:p w:rsidR="00F81C03" w:rsidRP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DC65FF" w:rsidRPr="00DC65FF" w:rsidRDefault="00F81C03" w:rsidP="00F81C0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DC65FF"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DC65FF" w:rsidRPr="00DC65FF" w:rsidRDefault="00F81C03" w:rsidP="00F81C0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85948,2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17988,4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14579,8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14855,1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15679,3</w:t>
            </w:r>
          </w:p>
        </w:tc>
        <w:tc>
          <w:tcPr>
            <w:tcW w:w="1559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403,9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2021-50,0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2023-100,0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14610,8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3463,3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70933,5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14475,1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115790,4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22235,8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22384,8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105808,7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DC65FF" w:rsidRPr="00DC65FF" w:rsidRDefault="00DC65FF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119361,2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22735,8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22884,8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6D19C9" w:rsidRPr="00DC65FF" w:rsidRDefault="00444C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106808,7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6D19C9" w:rsidRPr="00DC65FF" w:rsidRDefault="006D19C9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6D19C9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D6272" w:rsidRDefault="006D19C9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>
        <w:rPr>
          <w:rFonts w:ascii="PT Astra Serif" w:hAnsi="PT Astra Serif"/>
          <w:b/>
          <w:bCs/>
          <w:sz w:val="28"/>
          <w:szCs w:val="28"/>
        </w:rPr>
        <w:t>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DD6272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DD627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 w:rsidR="00B8470A">
        <w:rPr>
          <w:rFonts w:ascii="PT Astra Serif" w:hAnsi="PT Astra Serif"/>
          <w:sz w:val="28"/>
          <w:szCs w:val="28"/>
        </w:rPr>
        <w:t>ии и культуры).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Актуальность разработки Подпрограммы </w:t>
      </w:r>
      <w:r w:rsidR="001E6E98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и 43 выявленных объекта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направлена на обеспечение мероприятий,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позволяющих эффективно осуществлять эту работу. 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требуют проведения ремонтно-реставрационных работ, что составляет 46% от общего количества объектов. Для контроля за сохранением и использованием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памятников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Реализация мероприятий Подпрограммы </w:t>
      </w:r>
      <w:r w:rsidR="008B1752" w:rsidRPr="00DD6272">
        <w:rPr>
          <w:rFonts w:ascii="PT Astra Serif" w:hAnsi="PT Astra Serif" w:cs="Times New Roman"/>
          <w:sz w:val="28"/>
          <w:szCs w:val="28"/>
        </w:rPr>
        <w:t>5</w:t>
      </w:r>
      <w:r w:rsidRPr="00DD6272">
        <w:rPr>
          <w:rFonts w:ascii="PT Astra Serif" w:hAnsi="PT Astra Serif" w:cs="Times New Roman"/>
          <w:sz w:val="28"/>
          <w:szCs w:val="28"/>
        </w:rPr>
        <w:t xml:space="preserve"> позволит достичь следующих результатов:</w:t>
      </w:r>
    </w:p>
    <w:p w:rsidR="001B5F76" w:rsidRDefault="00BF62E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B5F76"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>
        <w:rPr>
          <w:rFonts w:ascii="PT Astra Serif" w:hAnsi="PT Astra Serif" w:cs="Times New Roman"/>
          <w:sz w:val="28"/>
          <w:szCs w:val="28"/>
        </w:rPr>
        <w:t xml:space="preserve"> культурного наследия до 23,5</w:t>
      </w:r>
      <w:r w:rsidR="00F026EA" w:rsidRPr="00DD6272">
        <w:rPr>
          <w:rFonts w:ascii="PT Astra Serif" w:hAnsi="PT Astra Serif" w:cs="Times New Roman"/>
          <w:sz w:val="28"/>
          <w:szCs w:val="28"/>
        </w:rPr>
        <w:t> %.</w:t>
      </w:r>
    </w:p>
    <w:p w:rsidR="00B8470A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8470A" w:rsidRPr="00DD6272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5F76" w:rsidRPr="00DD6272" w:rsidRDefault="001B5F76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DD6272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D6272" w:rsidRDefault="00B8470A" w:rsidP="001B6554">
      <w:pPr>
        <w:pStyle w:val="ConsPlusNormal"/>
        <w:widowControl/>
        <w:ind w:left="1069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22AB0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1E3BC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FC5444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 w:rsidR="006708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1E3BC0" w:rsidP="00702620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380429,7</w:t>
      </w:r>
      <w:r w:rsidR="00702620"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85766,4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72774,8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70643,3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78135,0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72902,1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 w:rsidR="001E3BC0">
        <w:rPr>
          <w:rFonts w:ascii="PT Astra Serif" w:hAnsi="PT Astra Serif"/>
          <w:sz w:val="28"/>
          <w:szCs w:val="28"/>
        </w:rPr>
        <w:t>3021,6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 w:rsidR="008A4186"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2021-50,0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2022-2717,7 тыс. рублей</w:t>
      </w:r>
    </w:p>
    <w:p w:rsidR="001E3BC0" w:rsidRPr="0070262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2023-100,0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 w:rsidR="001E3BC0">
        <w:rPr>
          <w:rFonts w:ascii="PT Astra Serif" w:hAnsi="PT Astra Serif"/>
          <w:sz w:val="28"/>
          <w:szCs w:val="28"/>
        </w:rPr>
        <w:t>48528,7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тыс.рублей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7495,9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8349,4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8517,0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16219,5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7946,9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 w:rsidR="001E3BC0">
        <w:rPr>
          <w:rFonts w:ascii="PT Astra Serif" w:hAnsi="PT Astra Serif"/>
          <w:sz w:val="28"/>
          <w:szCs w:val="28"/>
        </w:rPr>
        <w:t>314511,1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75050,6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61834,7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56788,9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59108,6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61728,3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поселений (Новольвовск)-</w:t>
      </w:r>
      <w:r w:rsidR="001E3BC0">
        <w:rPr>
          <w:rFonts w:ascii="PT Astra Serif" w:hAnsi="PT Astra Serif"/>
          <w:sz w:val="28"/>
          <w:szCs w:val="28"/>
        </w:rPr>
        <w:t>208,1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Pr="00702620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1E3BC0">
        <w:rPr>
          <w:rFonts w:ascii="PT Astra Serif" w:hAnsi="PT Astra Serif"/>
          <w:sz w:val="28"/>
          <w:szCs w:val="28"/>
        </w:rPr>
        <w:t>208,1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 w:rsidR="001E3BC0">
        <w:rPr>
          <w:rFonts w:ascii="PT Astra Serif" w:hAnsi="PT Astra Serif"/>
          <w:sz w:val="28"/>
          <w:szCs w:val="28"/>
        </w:rPr>
        <w:t>5</w:t>
      </w:r>
      <w:r w:rsidR="00FC5444">
        <w:rPr>
          <w:rFonts w:ascii="PT Astra Serif" w:hAnsi="PT Astra Serif"/>
          <w:sz w:val="28"/>
          <w:szCs w:val="28"/>
        </w:rPr>
        <w:t>0</w:t>
      </w:r>
      <w:r w:rsidR="0067088C">
        <w:rPr>
          <w:rFonts w:ascii="PT Astra Serif" w:hAnsi="PT Astra Serif"/>
          <w:sz w:val="28"/>
          <w:szCs w:val="28"/>
        </w:rPr>
        <w:t>0,0</w:t>
      </w:r>
      <w:r w:rsidRPr="00702620">
        <w:rPr>
          <w:rFonts w:ascii="PT Astra Serif" w:hAnsi="PT Astra Serif"/>
          <w:sz w:val="28"/>
          <w:szCs w:val="28"/>
        </w:rPr>
        <w:t xml:space="preserve"> тыс.рублей.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</w:t>
      </w:r>
      <w:r w:rsidR="0067088C">
        <w:rPr>
          <w:rFonts w:ascii="PT Astra Serif" w:hAnsi="PT Astra Serif"/>
          <w:sz w:val="28"/>
          <w:szCs w:val="28"/>
        </w:rPr>
        <w:t>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500,0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Объем финансирования внебюджетных источников – </w:t>
      </w:r>
      <w:r w:rsidR="001E3BC0">
        <w:rPr>
          <w:rFonts w:ascii="PT Astra Serif" w:hAnsi="PT Astra Serif"/>
          <w:sz w:val="28"/>
          <w:szCs w:val="28"/>
        </w:rPr>
        <w:t>13660,2</w:t>
      </w:r>
      <w:r w:rsidRPr="00702620">
        <w:rPr>
          <w:rFonts w:ascii="PT Astra Serif" w:hAnsi="PT Astra Serif"/>
          <w:sz w:val="28"/>
          <w:szCs w:val="28"/>
        </w:rPr>
        <w:t xml:space="preserve"> тыс.руб.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2540,7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</w:t>
      </w:r>
      <w:r w:rsidR="001E3BC0">
        <w:rPr>
          <w:rFonts w:ascii="PT Astra Serif" w:hAnsi="PT Astra Serif"/>
          <w:sz w:val="28"/>
          <w:szCs w:val="28"/>
        </w:rPr>
        <w:t xml:space="preserve">2619,7 </w:t>
      </w:r>
      <w:r w:rsidRPr="00702620">
        <w:rPr>
          <w:rFonts w:ascii="PT Astra Serif" w:hAnsi="PT Astra Serif"/>
          <w:sz w:val="28"/>
          <w:szCs w:val="28"/>
        </w:rPr>
        <w:t>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2706,9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2726,9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637FB5" w:rsidRPr="00F512DD" w:rsidTr="00637FB5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637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подпрограм-мы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637FB5" w:rsidRPr="00F512DD" w:rsidTr="00637FB5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F512DD" w:rsidRDefault="00DF7ED2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культурного наследия Кимовского района;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  <w:r w:rsidR="006D213E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</w:t>
            </w:r>
            <w:r w:rsidR="00F968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637FB5" w:rsidRPr="00F512DD" w:rsidTr="006D213E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637FB5" w:rsidRPr="00DD62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1тыс. человек</w:t>
            </w:r>
            <w:r w:rsidR="00CC501C">
              <w:rPr>
                <w:rFonts w:ascii="PT Astra Serif" w:hAnsi="PT Astra Serif"/>
                <w:sz w:val="28"/>
                <w:szCs w:val="28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Default="00CC501C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F7ED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Задача. Сохранение и развитие музейного дела на территории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DD627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DF7ED2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F9683E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9683E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95" w:rsidRDefault="003E4895" w:rsidP="00A66865">
      <w:pPr>
        <w:spacing w:after="0" w:line="240" w:lineRule="auto"/>
      </w:pPr>
      <w:r>
        <w:separator/>
      </w:r>
    </w:p>
  </w:endnote>
  <w:endnote w:type="continuationSeparator" w:id="1">
    <w:p w:rsidR="003E4895" w:rsidRDefault="003E4895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95" w:rsidRDefault="003E4895" w:rsidP="00A66865">
      <w:pPr>
        <w:spacing w:after="0" w:line="240" w:lineRule="auto"/>
      </w:pPr>
      <w:r>
        <w:separator/>
      </w:r>
    </w:p>
  </w:footnote>
  <w:footnote w:type="continuationSeparator" w:id="1">
    <w:p w:rsidR="003E4895" w:rsidRDefault="003E4895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0D0909" w:rsidRDefault="00D93BB2">
        <w:pPr>
          <w:pStyle w:val="a4"/>
          <w:jc w:val="center"/>
        </w:pPr>
        <w:r>
          <w:rPr>
            <w:noProof/>
          </w:rPr>
          <w:fldChar w:fldCharType="begin"/>
        </w:r>
        <w:r w:rsidR="000D09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0909" w:rsidRDefault="000D09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0D0909" w:rsidRDefault="00D93BB2">
        <w:pPr>
          <w:pStyle w:val="a4"/>
          <w:jc w:val="center"/>
        </w:pPr>
        <w:r>
          <w:rPr>
            <w:noProof/>
          </w:rPr>
          <w:fldChar w:fldCharType="begin"/>
        </w:r>
        <w:r w:rsidR="000D09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32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0D0909" w:rsidRDefault="000D09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09" w:rsidRDefault="00D93BB2">
    <w:pPr>
      <w:pStyle w:val="a4"/>
      <w:jc w:val="center"/>
    </w:pPr>
    <w:r>
      <w:rPr>
        <w:noProof/>
      </w:rPr>
      <w:fldChar w:fldCharType="begin"/>
    </w:r>
    <w:r w:rsidR="000D0909">
      <w:rPr>
        <w:noProof/>
      </w:rPr>
      <w:instrText>PAGE   \* MERGEFORMAT</w:instrText>
    </w:r>
    <w:r>
      <w:rPr>
        <w:noProof/>
      </w:rPr>
      <w:fldChar w:fldCharType="separate"/>
    </w:r>
    <w:r w:rsidR="000D0909">
      <w:rPr>
        <w:noProof/>
      </w:rPr>
      <w:t>26</w:t>
    </w:r>
    <w:r>
      <w:rPr>
        <w:noProof/>
      </w:rPr>
      <w:fldChar w:fldCharType="end"/>
    </w:r>
  </w:p>
  <w:p w:rsidR="000D0909" w:rsidRDefault="000D090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09" w:rsidRDefault="00D93BB2">
    <w:pPr>
      <w:pStyle w:val="a4"/>
      <w:jc w:val="center"/>
    </w:pPr>
    <w:r>
      <w:rPr>
        <w:noProof/>
      </w:rPr>
      <w:fldChar w:fldCharType="begin"/>
    </w:r>
    <w:r w:rsidR="000D0909">
      <w:rPr>
        <w:noProof/>
      </w:rPr>
      <w:instrText>PAGE   \* MERGEFORMAT</w:instrText>
    </w:r>
    <w:r>
      <w:rPr>
        <w:noProof/>
      </w:rPr>
      <w:fldChar w:fldCharType="separate"/>
    </w:r>
    <w:r w:rsidR="000D0909">
      <w:rPr>
        <w:noProof/>
      </w:rPr>
      <w:t>2</w:t>
    </w:r>
    <w:r>
      <w:rPr>
        <w:noProof/>
      </w:rPr>
      <w:fldChar w:fldCharType="end"/>
    </w:r>
  </w:p>
  <w:p w:rsidR="000D0909" w:rsidRDefault="000D090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0D0909" w:rsidRDefault="00D93BB2">
        <w:pPr>
          <w:pStyle w:val="a4"/>
          <w:jc w:val="center"/>
        </w:pPr>
        <w:r>
          <w:rPr>
            <w:noProof/>
          </w:rPr>
          <w:fldChar w:fldCharType="begin"/>
        </w:r>
        <w:r w:rsidR="000D09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32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D0909" w:rsidRDefault="000D0909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0D0909" w:rsidRDefault="00D93BB2">
        <w:pPr>
          <w:pStyle w:val="a4"/>
          <w:jc w:val="center"/>
        </w:pPr>
        <w:r>
          <w:rPr>
            <w:noProof/>
          </w:rPr>
          <w:fldChar w:fldCharType="begin"/>
        </w:r>
        <w:r w:rsidR="000D09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32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0D0909" w:rsidRDefault="000D0909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0D0909" w:rsidRDefault="00D93BB2">
        <w:pPr>
          <w:pStyle w:val="a4"/>
          <w:jc w:val="center"/>
        </w:pPr>
        <w:r>
          <w:rPr>
            <w:noProof/>
          </w:rPr>
          <w:fldChar w:fldCharType="begin"/>
        </w:r>
        <w:r w:rsidR="000D09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32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0D0909" w:rsidRDefault="000D0909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09" w:rsidRDefault="00D93BB2">
    <w:pPr>
      <w:pStyle w:val="a4"/>
      <w:jc w:val="center"/>
    </w:pPr>
    <w:r>
      <w:rPr>
        <w:noProof/>
      </w:rPr>
      <w:fldChar w:fldCharType="begin"/>
    </w:r>
    <w:r w:rsidR="000D0909">
      <w:rPr>
        <w:noProof/>
      </w:rPr>
      <w:instrText xml:space="preserve"> PAGE   \* MERGEFORMAT </w:instrText>
    </w:r>
    <w:r>
      <w:rPr>
        <w:noProof/>
      </w:rPr>
      <w:fldChar w:fldCharType="separate"/>
    </w:r>
    <w:r w:rsidR="00134468">
      <w:rPr>
        <w:noProof/>
      </w:rPr>
      <w:t>71</w:t>
    </w:r>
    <w:r>
      <w:rPr>
        <w:noProof/>
      </w:rPr>
      <w:fldChar w:fldCharType="end"/>
    </w:r>
  </w:p>
  <w:p w:rsidR="000D0909" w:rsidRDefault="000D09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5595"/>
    <w:rsid w:val="00B85957"/>
    <w:rsid w:val="00B860C8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6AF4"/>
    <w:rsid w:val="00F6646B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FB01-116B-411B-AA87-0D29D817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7182</Words>
  <Characters>40942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5</cp:revision>
  <cp:lastPrinted>2020-02-21T07:58:00Z</cp:lastPrinted>
  <dcterms:created xsi:type="dcterms:W3CDTF">2021-02-15T09:17:00Z</dcterms:created>
  <dcterms:modified xsi:type="dcterms:W3CDTF">2021-02-15T11:36:00Z</dcterms:modified>
</cp:coreProperties>
</file>