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3F62" w14:textId="77777777" w:rsidR="00C16294" w:rsidRPr="00246457" w:rsidRDefault="00C16294" w:rsidP="00C16294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ТУЛЬСКАЯ ОБЛАСТЬ</w:t>
      </w:r>
    </w:p>
    <w:p w14:paraId="04D24196" w14:textId="77777777" w:rsidR="00C16294" w:rsidRPr="00246457" w:rsidRDefault="00C16294" w:rsidP="00C16294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МУНИЦИПАЛЬНОЕ ОБРАЗОВАНИЕ ЕПИФАНСКОЕ</w:t>
      </w:r>
    </w:p>
    <w:p w14:paraId="112AC6B3" w14:textId="77777777" w:rsidR="00C16294" w:rsidRPr="00246457" w:rsidRDefault="00C16294" w:rsidP="00C16294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СОБРАНИЕ ДЕПУТАТОВ</w:t>
      </w:r>
    </w:p>
    <w:p w14:paraId="31158523" w14:textId="77777777" w:rsidR="00C16294" w:rsidRPr="00246457" w:rsidRDefault="00C16294" w:rsidP="00C16294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3-го созыва</w:t>
      </w:r>
    </w:p>
    <w:p w14:paraId="21A16DD4" w14:textId="77777777" w:rsidR="00C16294" w:rsidRPr="00246457" w:rsidRDefault="00C16294" w:rsidP="00C16294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</w:p>
    <w:p w14:paraId="48FF16E3" w14:textId="77777777" w:rsidR="00C16294" w:rsidRPr="00246457" w:rsidRDefault="00C16294" w:rsidP="00C16294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РЕШЕНИЕ</w:t>
      </w:r>
    </w:p>
    <w:p w14:paraId="7D1DD721" w14:textId="14216C7C" w:rsidR="00C16294" w:rsidRPr="00246457" w:rsidRDefault="00C16294" w:rsidP="00C162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C2D2E"/>
          <w:kern w:val="0"/>
          <w:sz w:val="32"/>
          <w:szCs w:val="32"/>
          <w:lang w:eastAsia="ru-RU"/>
          <w14:ligatures w14:val="none"/>
        </w:rPr>
      </w:pP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От 2</w:t>
      </w:r>
      <w:r w:rsidRPr="00C1629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2</w:t>
      </w: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января</w:t>
      </w: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202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5</w:t>
      </w: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года № 2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2</w:t>
      </w:r>
      <w:r w:rsidRPr="0024645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-7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7</w:t>
      </w:r>
    </w:p>
    <w:p w14:paraId="7CD316EE" w14:textId="77777777" w:rsidR="00C16294" w:rsidRPr="00246457" w:rsidRDefault="00C16294" w:rsidP="008408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C2D2E"/>
          <w:kern w:val="0"/>
          <w:sz w:val="32"/>
          <w:szCs w:val="32"/>
          <w:lang w:eastAsia="ru-RU"/>
          <w14:ligatures w14:val="none"/>
        </w:rPr>
      </w:pPr>
    </w:p>
    <w:p w14:paraId="749ABB13" w14:textId="342DF3A5" w:rsidR="00C16294" w:rsidRDefault="00C16294" w:rsidP="008408C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C1629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 внесении изменений в решение Собрания депутатов муниципального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C1629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образования Епифанское Кимовского района от 12.01.2018 No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C1629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71-242 «Об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C1629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утверждении предельных размеров и Порядка выплаты ежемесячных и иных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C1629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дополнительных выплат муниципальным служащим администрации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C1629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муниципального образования Епифанское Кимовского района»</w:t>
      </w:r>
    </w:p>
    <w:p w14:paraId="7EB881F4" w14:textId="77777777" w:rsidR="00C16294" w:rsidRDefault="00C16294" w:rsidP="008408C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</w:p>
    <w:p w14:paraId="5EB16ED7" w14:textId="77777777" w:rsidR="00C16294" w:rsidRDefault="00C16294" w:rsidP="001F2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294">
        <w:rPr>
          <w:rFonts w:ascii="Arial" w:hAnsi="Arial" w:cs="Arial"/>
          <w:sz w:val="24"/>
          <w:szCs w:val="24"/>
        </w:rPr>
        <w:t>В соответствии с Федеральными законами от 02.03.2007г. No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25-ФЗ «О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муниципальной службе в Российской Федерации», Законом Тульской области от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17.12.2007г. No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930-ЗТО «О регулировании отдельных отношений в сфере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муниципальной службы в Тульской области», постановлением 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Тульской области от 14.11.2017г. No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538 «Об утверждении нормативов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формирования расходов на оплату труда депутатов, выборных должностных лиц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местного самоуправления, осуществляющих свои полномочия на постоянной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основе, лиц, замещающих муниципальные должности в контрольно-счетном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органе, муниципальных служащих и содержание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Тульской области», постановлением Правительства Тульской области от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28.12.2024 No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758 «О внесении изменений и дополнений в 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Правительства Тульской области от 14.11.2017 No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538», Уставом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образования Епифанское Кимовского района, Собрание депутатов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образования Епифанское Кимовского района решило:</w:t>
      </w:r>
    </w:p>
    <w:p w14:paraId="62986E7F" w14:textId="0CD3E4B8" w:rsidR="00C16294" w:rsidRDefault="00C16294" w:rsidP="001F2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29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Внести в решение Собрания депутатов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Епифанское Кимовского района от 12.01.2018 No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71-242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предельных размеров и порядка выплаты ежемесячных и иных дополнительных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выплат муниципальным служащим администрации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Епифанское Кимовского района»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следующие изменения:</w:t>
      </w:r>
    </w:p>
    <w:p w14:paraId="283C3C88" w14:textId="77777777" w:rsidR="00C16294" w:rsidRDefault="00C16294" w:rsidP="001F2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294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Раздел 3 приложения к решению изложить в новой редакции:</w:t>
      </w:r>
    </w:p>
    <w:p w14:paraId="4AF20B44" w14:textId="02C705F5" w:rsidR="0094457E" w:rsidRDefault="00C16294" w:rsidP="001F2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294">
        <w:rPr>
          <w:rFonts w:ascii="Arial" w:hAnsi="Arial" w:cs="Arial"/>
          <w:sz w:val="24"/>
          <w:szCs w:val="24"/>
        </w:rPr>
        <w:t>«3. Предельные размеры должностных окладов муниципальных служащих</w:t>
      </w:r>
    </w:p>
    <w:p w14:paraId="22F48FB4" w14:textId="7424EF15" w:rsidR="00C16294" w:rsidRDefault="00C16294" w:rsidP="00C1629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16294" w:rsidRPr="00C16294" w14:paraId="3AC34419" w14:textId="77777777" w:rsidTr="00C16294">
        <w:trPr>
          <w:trHeight w:val="39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D772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247B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Группа по оплате труда</w:t>
            </w:r>
          </w:p>
        </w:tc>
      </w:tr>
      <w:tr w:rsidR="00C16294" w:rsidRPr="00C16294" w14:paraId="75426453" w14:textId="77777777" w:rsidTr="00C16294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3C83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331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6294" w:rsidRPr="00C16294" w14:paraId="6BA4A087" w14:textId="77777777" w:rsidTr="00C1629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C927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Группа высших должностей муниципальной службы</w:t>
            </w:r>
          </w:p>
        </w:tc>
      </w:tr>
      <w:tr w:rsidR="00C16294" w:rsidRPr="00C16294" w14:paraId="309C218D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4033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A065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19072</w:t>
            </w:r>
          </w:p>
        </w:tc>
      </w:tr>
      <w:tr w:rsidR="00C16294" w:rsidRPr="00C16294" w14:paraId="009507D9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F669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1255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14384</w:t>
            </w:r>
          </w:p>
        </w:tc>
      </w:tr>
      <w:tr w:rsidR="00C16294" w:rsidRPr="00C16294" w14:paraId="6209C1A4" w14:textId="77777777" w:rsidTr="00C1629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AF73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Группа главных должностей муниципальной службы</w:t>
            </w:r>
          </w:p>
        </w:tc>
      </w:tr>
      <w:tr w:rsidR="00C16294" w:rsidRPr="00C16294" w14:paraId="4085B777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A77E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4A5E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9753</w:t>
            </w:r>
          </w:p>
        </w:tc>
      </w:tr>
      <w:tr w:rsidR="00C16294" w:rsidRPr="00C16294" w14:paraId="04D815C4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165D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C839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9432</w:t>
            </w:r>
          </w:p>
        </w:tc>
      </w:tr>
      <w:tr w:rsidR="00C16294" w:rsidRPr="00C16294" w14:paraId="35416347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89F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A359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9114</w:t>
            </w:r>
          </w:p>
        </w:tc>
      </w:tr>
      <w:tr w:rsidR="00C16294" w:rsidRPr="00C16294" w14:paraId="5EE0881B" w14:textId="77777777" w:rsidTr="00C1629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5B62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Группа ведущих должностей муниципальной службы</w:t>
            </w:r>
          </w:p>
        </w:tc>
      </w:tr>
      <w:tr w:rsidR="00C16294" w:rsidRPr="00C16294" w14:paraId="49CF319B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54EA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7E6F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8312</w:t>
            </w:r>
          </w:p>
        </w:tc>
      </w:tr>
      <w:tr w:rsidR="00C16294" w:rsidRPr="00C16294" w14:paraId="49F51803" w14:textId="77777777" w:rsidTr="00C1629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D383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Группа старших должностей муниципальной службы</w:t>
            </w:r>
          </w:p>
        </w:tc>
      </w:tr>
      <w:tr w:rsidR="00C16294" w:rsidRPr="00C16294" w14:paraId="09174B91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199C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C70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7979</w:t>
            </w:r>
          </w:p>
        </w:tc>
      </w:tr>
      <w:tr w:rsidR="00C16294" w:rsidRPr="00C16294" w14:paraId="479E6F85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BC36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48D8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7093</w:t>
            </w:r>
          </w:p>
        </w:tc>
      </w:tr>
      <w:tr w:rsidR="00C16294" w:rsidRPr="00C16294" w14:paraId="560F75B4" w14:textId="77777777" w:rsidTr="00C1629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0E1F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Группа младших должностей муниципальной службы</w:t>
            </w:r>
          </w:p>
        </w:tc>
      </w:tr>
      <w:tr w:rsidR="00C16294" w:rsidRPr="00C16294" w14:paraId="677E3026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E4E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801A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6653</w:t>
            </w:r>
          </w:p>
        </w:tc>
      </w:tr>
      <w:tr w:rsidR="00C16294" w:rsidRPr="00C16294" w14:paraId="78093724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FF50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9446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6398</w:t>
            </w:r>
          </w:p>
        </w:tc>
      </w:tr>
      <w:tr w:rsidR="00C16294" w:rsidRPr="00C16294" w14:paraId="3AB58124" w14:textId="77777777" w:rsidTr="00C16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47B5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A653" w14:textId="77777777" w:rsidR="00C16294" w:rsidRPr="00C16294" w:rsidRDefault="00C16294" w:rsidP="00C1629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294">
              <w:rPr>
                <w:rFonts w:ascii="Arial" w:hAnsi="Arial" w:cs="Arial"/>
                <w:sz w:val="24"/>
                <w:szCs w:val="24"/>
              </w:rPr>
              <w:t>6036</w:t>
            </w:r>
          </w:p>
        </w:tc>
      </w:tr>
    </w:tbl>
    <w:p w14:paraId="248FCB0F" w14:textId="09ED7A5F" w:rsidR="00C16294" w:rsidRDefault="00C16294" w:rsidP="001F2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294">
        <w:rPr>
          <w:rFonts w:ascii="Arial" w:hAnsi="Arial" w:cs="Arial"/>
          <w:sz w:val="24"/>
          <w:szCs w:val="24"/>
        </w:rPr>
        <w:t>2.</w:t>
      </w:r>
      <w:r w:rsidR="00E7592B"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Рекомендовать администрации муниципального образования Епифанское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Кимовского района обнародовать настоящее решение в здании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муниципального образования Епифанское Кимовского района и разместить на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официальном сайте администрации муниципального образования Епифанское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Кимовского района в сети Интернет.</w:t>
      </w:r>
    </w:p>
    <w:p w14:paraId="6CA65464" w14:textId="3B6DC15C" w:rsidR="00C16294" w:rsidRDefault="00C16294" w:rsidP="001F2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294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C16294">
        <w:rPr>
          <w:rFonts w:ascii="Arial" w:hAnsi="Arial" w:cs="Arial"/>
          <w:sz w:val="24"/>
          <w:szCs w:val="24"/>
        </w:rPr>
        <w:t>и распространяется на правоотношения, возникшие с 1 октября 2024 года.</w:t>
      </w:r>
    </w:p>
    <w:p w14:paraId="18CD6E6F" w14:textId="77777777" w:rsidR="00C16294" w:rsidRDefault="00C16294" w:rsidP="00C1629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9091A13" w14:textId="77777777" w:rsidR="00C16294" w:rsidRDefault="00C16294" w:rsidP="00C1629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439E868" w14:textId="77777777" w:rsidR="00C16294" w:rsidRDefault="00C16294" w:rsidP="00C1629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15E3E04" w14:textId="77777777" w:rsidR="00C16294" w:rsidRDefault="00C16294" w:rsidP="00C1629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16294">
        <w:rPr>
          <w:rFonts w:ascii="Arial" w:hAnsi="Arial" w:cs="Arial"/>
          <w:sz w:val="24"/>
          <w:szCs w:val="24"/>
        </w:rPr>
        <w:t>Глава муниципального</w:t>
      </w:r>
    </w:p>
    <w:p w14:paraId="32D3B55A" w14:textId="4B74C02D" w:rsidR="00C16294" w:rsidRDefault="00C16294" w:rsidP="00C1629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</w:t>
      </w:r>
    </w:p>
    <w:p w14:paraId="37EE171E" w14:textId="59BC9602" w:rsidR="00C16294" w:rsidRDefault="00C16294" w:rsidP="00C1629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16294">
        <w:rPr>
          <w:rFonts w:ascii="Arial" w:hAnsi="Arial" w:cs="Arial"/>
          <w:sz w:val="24"/>
          <w:szCs w:val="24"/>
        </w:rPr>
        <w:t>Епифанское Кимовского района</w:t>
      </w:r>
    </w:p>
    <w:p w14:paraId="1B9ED944" w14:textId="3223624D" w:rsidR="00C16294" w:rsidRPr="00C16294" w:rsidRDefault="00C16294" w:rsidP="001F238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C16294">
        <w:rPr>
          <w:rFonts w:ascii="Arial" w:hAnsi="Arial" w:cs="Arial"/>
          <w:sz w:val="24"/>
          <w:szCs w:val="24"/>
        </w:rPr>
        <w:t>Н.А.Баркова</w:t>
      </w:r>
      <w:proofErr w:type="spellEnd"/>
    </w:p>
    <w:sectPr w:rsidR="00C16294" w:rsidRPr="00C16294" w:rsidSect="00C1629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94"/>
    <w:rsid w:val="00081DA7"/>
    <w:rsid w:val="001F2386"/>
    <w:rsid w:val="003A086F"/>
    <w:rsid w:val="005D5B95"/>
    <w:rsid w:val="008408C8"/>
    <w:rsid w:val="0094457E"/>
    <w:rsid w:val="00C16294"/>
    <w:rsid w:val="00E7592B"/>
    <w:rsid w:val="00E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6EA0"/>
  <w15:chartTrackingRefBased/>
  <w15:docId w15:val="{0D72B6AF-5419-43A4-8B1C-74E69BE8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294"/>
  </w:style>
  <w:style w:type="paragraph" w:styleId="1">
    <w:name w:val="heading 1"/>
    <w:basedOn w:val="a"/>
    <w:next w:val="a"/>
    <w:link w:val="10"/>
    <w:uiPriority w:val="9"/>
    <w:qFormat/>
    <w:rsid w:val="00C16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62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62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62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62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62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62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6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6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62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62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62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62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2025-01-23T11:47:00Z</dcterms:created>
  <dcterms:modified xsi:type="dcterms:W3CDTF">2025-01-24T09:10:00Z</dcterms:modified>
</cp:coreProperties>
</file>