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spacing w:line="240" w:lineRule="exact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Результаты мониторинга розничных цен в </w:t>
      </w:r>
      <w:r>
        <w:rPr>
          <w:rFonts w:ascii="Times New Roman" w:hAnsi="Times New Roman"/>
          <w:b w:val="1"/>
        </w:rPr>
        <w:t>муниципальном образовании Кимовский район</w:t>
      </w:r>
      <w:r>
        <w:rPr>
          <w:rFonts w:ascii="Times New Roman" w:hAnsi="Times New Roman"/>
          <w:b w:val="1"/>
        </w:rPr>
        <w:t xml:space="preserve"> по 40 наименованиям продовольственных товаров за период с </w:t>
      </w:r>
      <w:r>
        <w:rPr>
          <w:rFonts w:ascii="Times New Roman" w:hAnsi="Times New Roman"/>
          <w:b w:val="1"/>
        </w:rPr>
        <w:t>30.11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  <w:b w:val="1"/>
        </w:rPr>
        <w:t>201</w:t>
      </w:r>
      <w:r>
        <w:rPr>
          <w:rFonts w:ascii="Times New Roman" w:hAnsi="Times New Roman"/>
          <w:b w:val="1"/>
        </w:rPr>
        <w:t>7</w:t>
      </w:r>
      <w:r>
        <w:rPr>
          <w:rFonts w:ascii="Times New Roman" w:hAnsi="Times New Roman"/>
          <w:b w:val="1"/>
        </w:rPr>
        <w:t xml:space="preserve"> по </w:t>
      </w:r>
      <w:r>
        <w:rPr>
          <w:rFonts w:ascii="Times New Roman" w:hAnsi="Times New Roman"/>
          <w:b w:val="1"/>
        </w:rPr>
        <w:t>29.</w:t>
      </w:r>
      <w:r>
        <w:rPr>
          <w:rFonts w:ascii="Times New Roman" w:hAnsi="Times New Roman"/>
          <w:b w:val="1"/>
        </w:rPr>
        <w:t>12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  <w:b w:val="1"/>
        </w:rPr>
        <w:t>201</w:t>
      </w:r>
      <w:r>
        <w:rPr>
          <w:rFonts w:ascii="Times New Roman" w:hAnsi="Times New Roman"/>
          <w:b w:val="1"/>
        </w:rPr>
        <w:t>7</w:t>
      </w:r>
      <w:r>
        <w:rPr>
          <w:rFonts w:ascii="Times New Roman" w:hAnsi="Times New Roman"/>
          <w:b w:val="1"/>
        </w:rPr>
        <w:t xml:space="preserve"> год</w:t>
      </w:r>
    </w:p>
    <w:tbl>
      <w:tblPr>
        <w:tblStyle w:val="Style_1"/>
      </w:tblPr>
      <w:tblGrid>
        <w:gridCol w:w="4965"/>
        <w:gridCol w:w="1665"/>
        <w:gridCol w:w="1701"/>
        <w:gridCol w:w="1523"/>
      </w:tblGrid>
      <w:tr>
        <w:trPr>
          <w:trHeight w:hRule="atLeast" w:val="379"/>
        </w:trPr>
        <w:tc>
          <w:tcPr>
            <w:tcW w:type="dxa" w:w="4965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noWrap w:val="1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товара</w:t>
            </w:r>
          </w:p>
        </w:tc>
        <w:tc>
          <w:tcPr>
            <w:tcW w:type="dxa" w:w="33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Средняя цена, руб.</w:t>
            </w:r>
          </w:p>
        </w:tc>
        <w:tc>
          <w:tcPr>
            <w:tcW w:type="dxa" w:w="15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%</w:t>
            </w:r>
          </w:p>
        </w:tc>
      </w:tr>
      <w:tr>
        <w:trPr>
          <w:trHeight w:hRule="atLeast" w:val="315"/>
        </w:trPr>
        <w:tc>
          <w:tcPr>
            <w:tcW w:type="dxa" w:w="4965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noWrap w:val="1"/>
          </w:tcPr>
          <w:p/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</w:tcPr>
          <w:p>
            <w:r>
              <w:rPr>
                <w:rFonts w:ascii="Times New Roman" w:hAnsi="Times New Roman"/>
                <w:b w:val="1"/>
                <w:color w:val="000000"/>
              </w:rPr>
              <w:t>29</w:t>
            </w:r>
            <w:r>
              <w:rPr>
                <w:rFonts w:ascii="Times New Roman" w:hAnsi="Times New Roman"/>
                <w:b w:val="1"/>
                <w:color w:val="000000"/>
              </w:rPr>
              <w:t>.12.2017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</w:tcPr>
          <w:p>
            <w:pPr>
              <w:tabs>
                <w:tab w:leader="none" w:pos="724" w:val="center"/>
              </w:tabs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</w:rPr>
              <w:t>0.11</w:t>
            </w:r>
            <w:r>
              <w:rPr>
                <w:rFonts w:ascii="Times New Roman" w:hAnsi="Times New Roman"/>
                <w:b w:val="1"/>
                <w:color w:val="000000"/>
              </w:rPr>
              <w:t>.201</w:t>
            </w:r>
            <w:r>
              <w:rPr>
                <w:rFonts w:ascii="Times New Roman" w:hAnsi="Times New Roman"/>
                <w:b w:val="1"/>
                <w:color w:val="000000"/>
              </w:rPr>
              <w:t>7</w:t>
            </w:r>
          </w:p>
        </w:tc>
        <w:tc>
          <w:tcPr>
            <w:tcW w:type="dxa" w:w="1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</w:tr>
      <w:tr>
        <w:trPr>
          <w:trHeight w:hRule="atLeast" w:val="315"/>
        </w:trPr>
        <w:tc>
          <w:tcPr>
            <w:tcW w:type="dxa" w:w="49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Мука пшеничная (сорт высший),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34,33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34,33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Крупа рисовая (сорт первый),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  <w:r>
              <w:rPr>
                <w:rFonts w:ascii="Times New Roman" w:hAnsi="Times New Roman"/>
                <w:color w:val="000000"/>
              </w:rPr>
              <w:t>,36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</w:t>
            </w: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99,5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44,89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52,94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84,8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75,94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2,94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104,1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5,75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3,53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102,7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Сахар песок,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6,89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9,11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 94,3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Соль поваренная,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12,44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,11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102,7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Чай черный байховый,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73,89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50,56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102,5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Вода питьевая столовая, 5 л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100,8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Изделия колбасные вареные,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263,06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262,17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tabs>
                <w:tab w:leader="none" w:pos="313" w:val="left"/>
                <w:tab w:leader="none" w:pos="653" w:val="center"/>
              </w:tabs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100,3  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Колбасы варено-копченые,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78,61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102,0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Колбасы сырокопченые,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36,86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106,2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Говядина,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0,00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Свинина,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100,0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Мясо кур,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128,70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98,7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Рыба мороженая,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9,20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57,89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100,8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Рыба копченая,1кг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302,47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02,86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99,9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Рыба соленая,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192,11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94,83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98,6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Рыбные консервы, 1 шт.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70,53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69,45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101,6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82,48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82,89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99,5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53,95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54,74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98,6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Молоко питьевое (м.д.ж. 2,5-4%), 1 л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56,22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55,42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101,4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Творог (м.д.ж. 5-9%),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251,61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252,06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99,8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 сливочное (м.д.ж. 82,5%),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408,89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  <w:r>
              <w:rPr>
                <w:rFonts w:ascii="Times New Roman" w:hAnsi="Times New Roman"/>
                <w:color w:val="000000"/>
              </w:rPr>
              <w:t>1,28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90,4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Кефир (м.д.ж. 3,2%),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61,08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60,92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100,3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Сметана м.д.ж. (15%),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195,78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193,58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101,1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Сыр твердый (м.д.ж. 45 %),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382,58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105,4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Картофель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17,03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111,6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Лук репчатый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r>
              <w:rPr>
                <w:rFonts w:ascii="Times New Roman" w:hAnsi="Times New Roman"/>
                <w:color w:val="000000"/>
              </w:rPr>
              <w:t xml:space="preserve">        18,9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106,3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Капуста белокочанная свежая,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13,39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13,31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100,6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Морковь столовая свежая,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27,33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24,83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110,1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Огурцы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174,72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133,33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  <w:highlight w:val="yellow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131,0 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Томаты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82,33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114,42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159,4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Перец сладкий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133,3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Яблоки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86,58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78,89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109,7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Бананы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72,67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8,67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92,4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Виноград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100,0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Апельсины,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90,67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90,67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100,</w:t>
            </w: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Мандарины,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94,56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94,56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100,0 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52,89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49,39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  <w:highlight w:val="yellow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107,1</w:t>
            </w:r>
          </w:p>
        </w:tc>
      </w:tr>
    </w:tbl>
    <w:p>
      <w:pPr>
        <w:rPr>
          <w:rFonts w:ascii="Times New Roman" w:hAnsi="Times New Roman"/>
        </w:rPr>
      </w:pPr>
    </w:p>
    <w:sectPr>
      <w:pgSz w:h="16838" w:w="11906"/>
      <w:pgMar w:bottom="170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style w:default="1" w:styleId="Style_2" w:type="paragraph">
    <w:name w:val="Normal"/>
    <w:link w:val="Style_2_ch"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2_ch"/>
    <w:link w:val="Style_6"/>
  </w:style>
  <w:style w:styleId="Style_7" w:type="paragraph">
    <w:name w:val="Heading 1"/>
    <w:link w:val="Style_7_ch"/>
    <w:pPr>
      <w:spacing w:after="120" w:before="120"/>
      <w:ind/>
    </w:pPr>
    <w:rPr>
      <w:rFonts w:ascii="XO Thames" w:hAnsi="XO Thames"/>
      <w:b w:val="1"/>
      <w:sz w:val="32"/>
    </w:rPr>
  </w:style>
  <w:style w:styleId="Style_7_ch" w:type="character">
    <w:name w:val="Heading 1"/>
    <w:link w:val="Style_7"/>
    <w:rPr>
      <w:rFonts w:ascii="XO Thames" w:hAnsi="XO Thames"/>
      <w:b w:val="1"/>
      <w:sz w:val="32"/>
    </w:rPr>
  </w:style>
  <w:style w:styleId="Style_8" w:type="paragraph">
    <w:name w:val="Heading 2"/>
    <w:link w:val="Style_8_ch"/>
    <w:pPr>
      <w:spacing w:after="120" w:before="120"/>
      <w:ind/>
    </w:pPr>
    <w:rPr>
      <w:rFonts w:ascii="XO Thames" w:hAnsi="XO Thames"/>
      <w:b w:val="1"/>
      <w:color w:val="00A0FF"/>
      <w:sz w:val="26"/>
    </w:rPr>
  </w:style>
  <w:style w:styleId="Style_8_ch" w:type="character">
    <w:name w:val="Heading 2"/>
    <w:link w:val="Style_8"/>
    <w:rPr>
      <w:rFonts w:ascii="XO Thames" w:hAnsi="XO Thames"/>
      <w:b w:val="1"/>
      <w:color w:val="00A0FF"/>
      <w:sz w:val="26"/>
    </w:rPr>
  </w:style>
  <w:style w:styleId="Style_9" w:type="paragraph">
    <w:name w:val="Heading 3"/>
    <w:link w:val="Style_9_ch"/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Heading 4"/>
    <w:link w:val="Style_10_ch"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10_ch" w:type="character">
    <w:name w:val="Heading 4"/>
    <w:link w:val="Style_10"/>
    <w:rPr>
      <w:rFonts w:ascii="XO Thames" w:hAnsi="XO Thames"/>
      <w:b w:val="1"/>
      <w:color w:val="595959"/>
      <w:sz w:val="26"/>
    </w:rPr>
  </w:style>
  <w:style w:styleId="Style_11" w:type="paragraph">
    <w:name w:val="Heading 5"/>
    <w:link w:val="Style_11_ch"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Title"/>
    <w:link w:val="Style_12_ch"/>
    <w:rPr>
      <w:rFonts w:ascii="XO Thames" w:hAnsi="XO Thames"/>
      <w:b w:val="1"/>
      <w:sz w:val="52"/>
    </w:rPr>
  </w:style>
  <w:style w:styleId="Style_12_ch" w:type="character">
    <w:name w:val="Title"/>
    <w:link w:val="Style_12"/>
    <w:rPr>
      <w:rFonts w:ascii="XO Thames" w:hAnsi="XO Thames"/>
      <w:b w:val="1"/>
      <w:sz w:val="52"/>
    </w:rPr>
  </w:style>
  <w:style w:styleId="Style_13" w:type="paragraph">
    <w:name w:val="Subtitle"/>
    <w:basedOn w:val="Style_2"/>
    <w:link w:val="Style_13_ch"/>
    <w:rPr>
      <w:rFonts w:ascii="XO Thames" w:hAnsi="XO Thames"/>
      <w:i w:val="1"/>
      <w:color w:val="616161"/>
    </w:rPr>
  </w:style>
  <w:style w:styleId="Style_13_ch" w:type="character">
    <w:name w:val="Subtitle"/>
    <w:basedOn w:val="Style_2_ch"/>
    <w:link w:val="Style_13"/>
    <w:rPr>
      <w:rFonts w:ascii="XO Thames" w:hAnsi="XO Thames"/>
      <w:i w:val="1"/>
      <w:color w:val="61616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Footnote"/>
    <w:link w:val="Style_15_ch"/>
    <w:rPr>
      <w:rFonts w:ascii="XO Thames" w:hAnsi="XO Thames"/>
      <w:color w:val="757575"/>
      <w:sz w:val="20"/>
    </w:rPr>
  </w:style>
  <w:style w:styleId="Style_15_ch" w:type="character">
    <w:name w:val="Footnote"/>
    <w:link w:val="Style_15"/>
    <w:rPr>
      <w:rFonts w:ascii="XO Thames" w:hAnsi="XO Thames"/>
      <w:color w:val="757575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2" Target="settings.xml" Type="http://schemas.openxmlformats.org/officeDocument/2006/relationships/settings"/>
  <Relationship Id="rId5" Target="webSettings.xml" Type="http://schemas.openxmlformats.org/officeDocument/2006/relationships/webSettings"/>
  <Relationship Id="rId3" Target="styles.xml" Type="http://schemas.openxmlformats.org/officeDocument/2006/relationships/styles"/>
  <Relationship Id="rId1" Target="fontTable.xml" Type="http://schemas.openxmlformats.org/officeDocument/2006/relationships/fontTable"/>
  <Relationship Id="rId4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