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E0" w:rsidRPr="00F41DF4" w:rsidRDefault="00536675" w:rsidP="006171E0">
      <w:pPr>
        <w:pStyle w:val="1"/>
        <w:jc w:val="center"/>
        <w:rPr>
          <w:sz w:val="24"/>
          <w:szCs w:val="24"/>
        </w:rPr>
      </w:pPr>
      <w:r w:rsidRPr="00F41DF4">
        <w:rPr>
          <w:sz w:val="24"/>
          <w:szCs w:val="24"/>
        </w:rPr>
        <w:t>Экспертное заключение</w:t>
      </w:r>
      <w:r w:rsidR="00B46AF0">
        <w:rPr>
          <w:sz w:val="24"/>
          <w:szCs w:val="24"/>
        </w:rPr>
        <w:t xml:space="preserve"> </w:t>
      </w:r>
    </w:p>
    <w:p w:rsidR="00536675" w:rsidRPr="00F41DF4" w:rsidRDefault="00536675" w:rsidP="009F49FB">
      <w:pPr>
        <w:pStyle w:val="a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Pr="00F41DF4">
        <w:rPr>
          <w:rFonts w:ascii="Times New Roman" w:hAnsi="Times New Roman" w:cs="Times New Roman"/>
          <w:sz w:val="24"/>
          <w:szCs w:val="24"/>
        </w:rPr>
        <w:t xml:space="preserve"> проект решения Собрания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Кимовс</w:t>
      </w:r>
      <w:r>
        <w:rPr>
          <w:rFonts w:ascii="Times New Roman" w:hAnsi="Times New Roman" w:cs="Times New Roman"/>
          <w:sz w:val="24"/>
          <w:szCs w:val="24"/>
        </w:rPr>
        <w:t>кий район</w:t>
      </w:r>
      <w:r w:rsidRPr="00F41DF4"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FC197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Собрания представителей муниципального о</w:t>
      </w:r>
      <w:r w:rsidR="00043B1C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Кимовс</w:t>
      </w:r>
      <w:r w:rsidR="00043B1C">
        <w:rPr>
          <w:rFonts w:ascii="Times New Roman" w:hAnsi="Times New Roman" w:cs="Times New Roman"/>
          <w:sz w:val="24"/>
          <w:szCs w:val="24"/>
        </w:rPr>
        <w:t xml:space="preserve">кий район от </w:t>
      </w:r>
      <w:r w:rsidR="00FE59FB">
        <w:rPr>
          <w:rFonts w:ascii="Times New Roman" w:hAnsi="Times New Roman" w:cs="Times New Roman"/>
          <w:sz w:val="24"/>
          <w:szCs w:val="24"/>
        </w:rPr>
        <w:t>1</w:t>
      </w:r>
      <w:r w:rsidR="00FF61E1">
        <w:rPr>
          <w:rFonts w:ascii="Times New Roman" w:hAnsi="Times New Roman" w:cs="Times New Roman"/>
          <w:sz w:val="24"/>
          <w:szCs w:val="24"/>
        </w:rPr>
        <w:t>4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</w:t>
      </w:r>
      <w:r w:rsidR="00D16EC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FF61E1">
        <w:rPr>
          <w:rFonts w:ascii="Times New Roman" w:hAnsi="Times New Roman" w:cs="Times New Roman"/>
          <w:sz w:val="24"/>
          <w:szCs w:val="24"/>
        </w:rPr>
        <w:t>9</w:t>
      </w:r>
      <w:r w:rsidR="00D16EC1">
        <w:rPr>
          <w:rFonts w:ascii="Times New Roman" w:hAnsi="Times New Roman" w:cs="Times New Roman"/>
          <w:sz w:val="24"/>
          <w:szCs w:val="24"/>
        </w:rPr>
        <w:t>1</w:t>
      </w:r>
      <w:r w:rsidR="004A6D91">
        <w:rPr>
          <w:rFonts w:ascii="Times New Roman" w:hAnsi="Times New Roman" w:cs="Times New Roman"/>
          <w:sz w:val="24"/>
          <w:szCs w:val="24"/>
        </w:rPr>
        <w:t>-</w:t>
      </w:r>
      <w:r w:rsidR="00D16EC1">
        <w:rPr>
          <w:rFonts w:ascii="Times New Roman" w:hAnsi="Times New Roman" w:cs="Times New Roman"/>
          <w:sz w:val="24"/>
          <w:szCs w:val="24"/>
        </w:rPr>
        <w:t>459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 w:rsidRPr="00F41DF4">
        <w:rPr>
          <w:rFonts w:ascii="Times New Roman" w:hAnsi="Times New Roman" w:cs="Times New Roman"/>
          <w:sz w:val="24"/>
          <w:szCs w:val="24"/>
        </w:rPr>
        <w:t xml:space="preserve">бюджете муниципального образования </w:t>
      </w:r>
      <w:r w:rsidR="00FE59FB">
        <w:rPr>
          <w:rFonts w:ascii="Times New Roman" w:hAnsi="Times New Roman" w:cs="Times New Roman"/>
          <w:sz w:val="24"/>
          <w:szCs w:val="24"/>
        </w:rPr>
        <w:t>Кимов</w:t>
      </w:r>
      <w:r>
        <w:rPr>
          <w:rFonts w:ascii="Times New Roman" w:hAnsi="Times New Roman" w:cs="Times New Roman"/>
          <w:sz w:val="24"/>
          <w:szCs w:val="24"/>
        </w:rPr>
        <w:t>ский</w:t>
      </w:r>
      <w:r w:rsidRPr="00F41DF4">
        <w:rPr>
          <w:rFonts w:ascii="Times New Roman" w:hAnsi="Times New Roman" w:cs="Times New Roman"/>
          <w:sz w:val="24"/>
          <w:szCs w:val="24"/>
        </w:rPr>
        <w:t xml:space="preserve"> район на 201</w:t>
      </w:r>
      <w:r w:rsidR="00D16EC1">
        <w:rPr>
          <w:rFonts w:ascii="Times New Roman" w:hAnsi="Times New Roman" w:cs="Times New Roman"/>
          <w:sz w:val="24"/>
          <w:szCs w:val="24"/>
        </w:rPr>
        <w:t>8</w:t>
      </w:r>
      <w:r w:rsidR="004A6D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F41DF4">
        <w:rPr>
          <w:rFonts w:ascii="Times New Roman" w:hAnsi="Times New Roman" w:cs="Times New Roman"/>
          <w:sz w:val="24"/>
          <w:szCs w:val="24"/>
        </w:rPr>
        <w:t xml:space="preserve"> и  </w:t>
      </w:r>
      <w:r w:rsidR="00FC197A">
        <w:rPr>
          <w:rFonts w:ascii="Times New Roman" w:hAnsi="Times New Roman" w:cs="Times New Roman"/>
          <w:sz w:val="24"/>
          <w:szCs w:val="24"/>
        </w:rPr>
        <w:t xml:space="preserve">на </w:t>
      </w:r>
      <w:r w:rsidRPr="00F41DF4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D16EC1">
        <w:rPr>
          <w:rFonts w:ascii="Times New Roman" w:hAnsi="Times New Roman" w:cs="Times New Roman"/>
          <w:sz w:val="24"/>
          <w:szCs w:val="24"/>
        </w:rPr>
        <w:t>9</w:t>
      </w:r>
      <w:r w:rsidR="00043B1C">
        <w:rPr>
          <w:rFonts w:ascii="Times New Roman" w:hAnsi="Times New Roman" w:cs="Times New Roman"/>
          <w:sz w:val="24"/>
          <w:szCs w:val="24"/>
        </w:rPr>
        <w:t xml:space="preserve"> </w:t>
      </w:r>
      <w:r w:rsidR="00CC4653">
        <w:rPr>
          <w:rFonts w:ascii="Times New Roman" w:hAnsi="Times New Roman" w:cs="Times New Roman"/>
          <w:sz w:val="24"/>
          <w:szCs w:val="24"/>
        </w:rPr>
        <w:t>и</w:t>
      </w:r>
      <w:r w:rsidRPr="00F41DF4">
        <w:rPr>
          <w:rFonts w:ascii="Times New Roman" w:hAnsi="Times New Roman" w:cs="Times New Roman"/>
          <w:sz w:val="24"/>
          <w:szCs w:val="24"/>
        </w:rPr>
        <w:t xml:space="preserve"> 20</w:t>
      </w:r>
      <w:r w:rsidR="00D16EC1">
        <w:rPr>
          <w:rFonts w:ascii="Times New Roman" w:hAnsi="Times New Roman" w:cs="Times New Roman"/>
          <w:sz w:val="24"/>
          <w:szCs w:val="24"/>
        </w:rPr>
        <w:t>20</w:t>
      </w:r>
      <w:r w:rsidRPr="00F41DF4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6171E0" w:rsidRDefault="006171E0" w:rsidP="007164C0">
      <w:pPr>
        <w:ind w:firstLine="900"/>
        <w:jc w:val="center"/>
      </w:pPr>
    </w:p>
    <w:p w:rsidR="00FE59FB" w:rsidRDefault="00FE59FB" w:rsidP="00FE59FB">
      <w:pPr>
        <w:ind w:firstLine="900"/>
      </w:pPr>
    </w:p>
    <w:p w:rsidR="00FE59FB" w:rsidRPr="002974F2" w:rsidRDefault="00536675" w:rsidP="00484BC6">
      <w:pPr>
        <w:ind w:firstLine="900"/>
        <w:jc w:val="both"/>
      </w:pPr>
      <w:r w:rsidRPr="00F41DF4">
        <w:t> </w:t>
      </w:r>
      <w:proofErr w:type="gramStart"/>
      <w:r w:rsidR="00FE59FB" w:rsidRPr="002974F2">
        <w:t xml:space="preserve">Настоящее заключение составлено Экспертным советом </w:t>
      </w:r>
      <w:r w:rsidR="00FE59FB">
        <w:t>муниципального образования Кимовский район</w:t>
      </w:r>
      <w:r w:rsidR="00FE59FB" w:rsidRPr="002974F2">
        <w:t xml:space="preserve"> по проведению публичной независимой экспертизы проектов</w:t>
      </w:r>
      <w:r w:rsidR="00FE59FB">
        <w:t xml:space="preserve"> решений Собрания представителей муниципального образования Кимовский район</w:t>
      </w:r>
      <w:r w:rsidR="00FE59FB" w:rsidRPr="002974F2">
        <w:t xml:space="preserve"> в области бюджетного и налогового законодательства, действующим на основании </w:t>
      </w:r>
      <w:r w:rsidR="00FE59FB">
        <w:t xml:space="preserve">решения Собрания представителей муниципального образования Кимовский район от 28 февраля 2008 года № 44-391 «О Положении «О публичной независимой экспертизе </w:t>
      </w:r>
      <w:r w:rsidR="00FE59FB" w:rsidRPr="002974F2">
        <w:t>проектов</w:t>
      </w:r>
      <w:r w:rsidR="00FE59FB">
        <w:t xml:space="preserve"> решений Собрания представителей муниципального образования Кимовский район</w:t>
      </w:r>
      <w:r w:rsidR="00FE59FB" w:rsidRPr="002974F2">
        <w:t xml:space="preserve"> в области</w:t>
      </w:r>
      <w:proofErr w:type="gramEnd"/>
      <w:r w:rsidR="00FE59FB" w:rsidRPr="002974F2">
        <w:t xml:space="preserve"> бюджетного и налогового законодательства»</w:t>
      </w:r>
      <w:r w:rsidR="00FE59FB">
        <w:t xml:space="preserve"> </w:t>
      </w:r>
      <w:proofErr w:type="gramStart"/>
      <w:r w:rsidR="00FE59FB">
        <w:t xml:space="preserve">( </w:t>
      </w:r>
      <w:proofErr w:type="gramEnd"/>
      <w:r w:rsidR="00FE59FB">
        <w:t>в редакции от 28.10.2010 года)</w:t>
      </w:r>
      <w:r w:rsidR="00FE59FB" w:rsidRPr="00650665">
        <w:rPr>
          <w:b/>
        </w:rPr>
        <w:t>,</w:t>
      </w:r>
      <w:r w:rsidR="00FE59FB" w:rsidRPr="002974F2">
        <w:t xml:space="preserve"> по результатам проведения публичной независимой </w:t>
      </w:r>
      <w:r w:rsidR="00FE59FB" w:rsidRPr="00484BC6">
        <w:t>экспертизы</w:t>
      </w:r>
      <w:r w:rsidR="00484BC6" w:rsidRPr="00484BC6">
        <w:t xml:space="preserve">  проекта решения Собрания представителей муниципального образования Кимовский район « О внесении изменений  и дополнений в решение Собрания представителей муниципального образования Кимовский район от 1</w:t>
      </w:r>
      <w:r w:rsidR="005D4E19">
        <w:t>4</w:t>
      </w:r>
      <w:r w:rsidR="00484BC6" w:rsidRPr="00484BC6">
        <w:t xml:space="preserve"> декабря 201</w:t>
      </w:r>
      <w:r w:rsidR="00D16EC1">
        <w:t>7</w:t>
      </w:r>
      <w:r w:rsidR="00484BC6" w:rsidRPr="00484BC6">
        <w:t xml:space="preserve"> года № </w:t>
      </w:r>
      <w:r w:rsidR="005D4E19">
        <w:t>9</w:t>
      </w:r>
      <w:r w:rsidR="00D16EC1">
        <w:t>1</w:t>
      </w:r>
      <w:r w:rsidR="005D4E19">
        <w:t>-</w:t>
      </w:r>
      <w:r w:rsidR="00D16EC1">
        <w:t>459</w:t>
      </w:r>
      <w:r w:rsidR="00FE59FB" w:rsidRPr="002974F2">
        <w:t xml:space="preserve"> «О бюджете </w:t>
      </w:r>
      <w:r w:rsidR="00FE59FB">
        <w:t xml:space="preserve"> муниципального образования Кимовский район </w:t>
      </w:r>
      <w:r w:rsidR="00FE59FB" w:rsidRPr="002974F2">
        <w:t xml:space="preserve"> на 201</w:t>
      </w:r>
      <w:r w:rsidR="00D16EC1">
        <w:t>8</w:t>
      </w:r>
      <w:r w:rsidR="00FE59FB" w:rsidRPr="002974F2">
        <w:t xml:space="preserve"> год и </w:t>
      </w:r>
      <w:r w:rsidR="00FE59FB">
        <w:t xml:space="preserve">на </w:t>
      </w:r>
      <w:r w:rsidR="00FE59FB" w:rsidRPr="002974F2">
        <w:t>плановый период 201</w:t>
      </w:r>
      <w:r w:rsidR="00D16EC1">
        <w:t>9</w:t>
      </w:r>
      <w:r w:rsidR="00FE59FB" w:rsidRPr="002974F2">
        <w:t xml:space="preserve"> и 20</w:t>
      </w:r>
      <w:r w:rsidR="00D16EC1">
        <w:t>20</w:t>
      </w:r>
      <w:r w:rsidR="00FE59FB" w:rsidRPr="002974F2">
        <w:t xml:space="preserve"> годов»  </w:t>
      </w:r>
      <w:r w:rsidR="00402B1C">
        <w:t>с</w:t>
      </w:r>
      <w:r w:rsidR="00F6452A">
        <w:t xml:space="preserve"> 1</w:t>
      </w:r>
      <w:r w:rsidR="000466FC">
        <w:t>9</w:t>
      </w:r>
      <w:r w:rsidR="00402B1C">
        <w:t xml:space="preserve"> по </w:t>
      </w:r>
      <w:r w:rsidR="000466FC">
        <w:t>22</w:t>
      </w:r>
      <w:r w:rsidR="00FE59FB">
        <w:t xml:space="preserve"> </w:t>
      </w:r>
      <w:r w:rsidR="000466FC">
        <w:t>марта</w:t>
      </w:r>
      <w:r w:rsidR="00FE59FB" w:rsidRPr="002974F2">
        <w:t xml:space="preserve"> 20</w:t>
      </w:r>
      <w:r w:rsidR="00FE59FB">
        <w:t>1</w:t>
      </w:r>
      <w:r w:rsidR="000466FC">
        <w:t>8</w:t>
      </w:r>
      <w:r w:rsidR="00FE59FB" w:rsidRPr="002974F2">
        <w:t xml:space="preserve"> года в составе:</w:t>
      </w:r>
    </w:p>
    <w:p w:rsidR="006A3FBA" w:rsidRPr="00F41657" w:rsidRDefault="00FE59FB" w:rsidP="005D4E19">
      <w:pPr>
        <w:pStyle w:val="3"/>
        <w:spacing w:after="0"/>
        <w:ind w:left="284" w:firstLine="708"/>
        <w:rPr>
          <w:sz w:val="24"/>
          <w:szCs w:val="24"/>
        </w:rPr>
      </w:pPr>
      <w:r w:rsidRPr="007846D5">
        <w:t xml:space="preserve"> </w:t>
      </w:r>
      <w:r w:rsidR="006A3FBA" w:rsidRPr="00F41657">
        <w:rPr>
          <w:sz w:val="24"/>
          <w:szCs w:val="24"/>
        </w:rPr>
        <w:t xml:space="preserve">председатель – </w:t>
      </w:r>
      <w:proofErr w:type="spellStart"/>
      <w:r w:rsidR="006A3FBA" w:rsidRPr="00F41657">
        <w:rPr>
          <w:sz w:val="24"/>
          <w:szCs w:val="24"/>
        </w:rPr>
        <w:t>Камынина</w:t>
      </w:r>
      <w:proofErr w:type="spellEnd"/>
      <w:r w:rsidR="006A3FBA" w:rsidRPr="00F41657">
        <w:rPr>
          <w:sz w:val="24"/>
          <w:szCs w:val="24"/>
        </w:rPr>
        <w:t xml:space="preserve"> Евгения Егоровна, главный бухгалтер ООО «</w:t>
      </w:r>
      <w:proofErr w:type="spellStart"/>
      <w:r w:rsidR="006A3FBA" w:rsidRPr="00F41657">
        <w:rPr>
          <w:sz w:val="24"/>
          <w:szCs w:val="24"/>
        </w:rPr>
        <w:t>Кимовские</w:t>
      </w:r>
      <w:proofErr w:type="spellEnd"/>
      <w:r w:rsidR="006A3FBA" w:rsidRPr="00F41657">
        <w:rPr>
          <w:sz w:val="24"/>
          <w:szCs w:val="24"/>
        </w:rPr>
        <w:t xml:space="preserve"> просторы»;</w:t>
      </w:r>
    </w:p>
    <w:p w:rsidR="006A3FBA" w:rsidRPr="00F41657" w:rsidRDefault="006A3FBA" w:rsidP="005D4E19">
      <w:pPr>
        <w:pStyle w:val="3"/>
        <w:spacing w:after="0"/>
        <w:ind w:left="284" w:firstLine="708"/>
        <w:rPr>
          <w:sz w:val="24"/>
          <w:szCs w:val="24"/>
        </w:rPr>
      </w:pPr>
      <w:r w:rsidRPr="00F41657">
        <w:rPr>
          <w:sz w:val="24"/>
          <w:szCs w:val="24"/>
        </w:rPr>
        <w:t>заместитель председателя – Курочкина Наталья Александровна, главный бухгалтер МУ «Стадион»;</w:t>
      </w:r>
    </w:p>
    <w:p w:rsidR="006A3FBA" w:rsidRPr="00F41657" w:rsidRDefault="005D4E19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члены: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 w:rsidR="006A3FBA" w:rsidRPr="00F41657">
        <w:rPr>
          <w:sz w:val="24"/>
          <w:szCs w:val="24"/>
        </w:rPr>
        <w:t>Кораблинова</w:t>
      </w:r>
      <w:proofErr w:type="spellEnd"/>
      <w:r w:rsidR="006A3FBA" w:rsidRPr="00F41657">
        <w:rPr>
          <w:sz w:val="24"/>
          <w:szCs w:val="24"/>
        </w:rPr>
        <w:t xml:space="preserve"> Светлана Валентиновна - главный бухгалтер ГУЗ «</w:t>
      </w:r>
      <w:proofErr w:type="spellStart"/>
      <w:r w:rsidR="006A3FBA" w:rsidRPr="00F41657">
        <w:rPr>
          <w:sz w:val="24"/>
          <w:szCs w:val="24"/>
        </w:rPr>
        <w:t>Кимовская</w:t>
      </w:r>
      <w:proofErr w:type="spellEnd"/>
      <w:r w:rsidR="006A3FBA" w:rsidRPr="00F41657">
        <w:rPr>
          <w:sz w:val="24"/>
          <w:szCs w:val="24"/>
        </w:rPr>
        <w:t xml:space="preserve"> ЦРБ»;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Зорина Людмила Васильевна – пенсионер;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466FC">
        <w:rPr>
          <w:sz w:val="24"/>
          <w:szCs w:val="24"/>
        </w:rPr>
        <w:t>Колесникова Татьяна Александровна – главный бухгалтер МКУ «Универсал-Ком»</w:t>
      </w:r>
      <w:r w:rsidR="006A3FBA" w:rsidRPr="00F41657">
        <w:rPr>
          <w:sz w:val="24"/>
          <w:szCs w:val="24"/>
        </w:rPr>
        <w:t>;</w:t>
      </w:r>
    </w:p>
    <w:p w:rsidR="006A3FBA" w:rsidRPr="00F41657" w:rsidRDefault="009610BB" w:rsidP="005D4E19">
      <w:pPr>
        <w:pStyle w:val="3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A3FBA" w:rsidRPr="00F41657">
        <w:rPr>
          <w:sz w:val="24"/>
          <w:szCs w:val="24"/>
        </w:rPr>
        <w:t>Коломиец Татьяна Леонидовна - бухгалтер ООО «Перспектива».</w:t>
      </w:r>
    </w:p>
    <w:p w:rsidR="00536675" w:rsidRPr="00F41DF4" w:rsidRDefault="00536675" w:rsidP="00484B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675" w:rsidRPr="00536675" w:rsidRDefault="00484BC6" w:rsidP="000C6E27">
      <w:pPr>
        <w:jc w:val="both"/>
      </w:pPr>
      <w:r>
        <w:t xml:space="preserve">     </w:t>
      </w:r>
      <w:r w:rsidR="00536675" w:rsidRPr="00536675">
        <w:t xml:space="preserve">    </w:t>
      </w:r>
      <w:proofErr w:type="gramStart"/>
      <w:r w:rsidR="00536675" w:rsidRPr="00536675">
        <w:t xml:space="preserve">Заключение на проект решения Собрания </w:t>
      </w:r>
      <w:r>
        <w:t>п</w:t>
      </w:r>
      <w:r w:rsidR="00536675" w:rsidRPr="00536675">
        <w:t xml:space="preserve">редставителей муниципального образования </w:t>
      </w:r>
      <w:r>
        <w:t>Ким</w:t>
      </w:r>
      <w:r w:rsidR="00536675" w:rsidRPr="00536675">
        <w:t xml:space="preserve">овский район «О внесении изменений </w:t>
      </w:r>
      <w:r>
        <w:t xml:space="preserve">и дополнений </w:t>
      </w:r>
      <w:r w:rsidR="00536675" w:rsidRPr="00536675">
        <w:t xml:space="preserve">в </w:t>
      </w:r>
      <w:r>
        <w:t>р</w:t>
      </w:r>
      <w:r w:rsidR="00536675" w:rsidRPr="00536675">
        <w:t xml:space="preserve">ешение Собрания представителей муниципального образования </w:t>
      </w:r>
      <w:r>
        <w:t>Ким</w:t>
      </w:r>
      <w:r w:rsidR="00536675" w:rsidRPr="00536675">
        <w:t xml:space="preserve">овский район от </w:t>
      </w:r>
      <w:r>
        <w:t>1</w:t>
      </w:r>
      <w:r w:rsidR="008536C9">
        <w:t>4</w:t>
      </w:r>
      <w:r w:rsidR="00536675" w:rsidRPr="00536675">
        <w:t xml:space="preserve"> декабря 201</w:t>
      </w:r>
      <w:r w:rsidR="00D16EC1">
        <w:t>7</w:t>
      </w:r>
      <w:r w:rsidR="00536675" w:rsidRPr="00536675">
        <w:t xml:space="preserve"> года №</w:t>
      </w:r>
      <w:r w:rsidR="00043B1C">
        <w:t xml:space="preserve"> </w:t>
      </w:r>
      <w:r w:rsidR="008536C9">
        <w:t>9</w:t>
      </w:r>
      <w:r w:rsidR="00D16EC1">
        <w:t>1</w:t>
      </w:r>
      <w:r w:rsidR="008536C9">
        <w:t>-</w:t>
      </w:r>
      <w:r w:rsidR="00D16EC1">
        <w:t>459</w:t>
      </w:r>
      <w:r w:rsidR="00536675" w:rsidRPr="00536675">
        <w:t xml:space="preserve"> «О бюджете муниципального образования </w:t>
      </w:r>
      <w:r>
        <w:t>Ким</w:t>
      </w:r>
      <w:r w:rsidR="00536675" w:rsidRPr="00536675">
        <w:t>овский район на 201</w:t>
      </w:r>
      <w:r w:rsidR="00D16EC1">
        <w:t>8</w:t>
      </w:r>
      <w:r w:rsidR="008536C9">
        <w:t xml:space="preserve"> </w:t>
      </w:r>
      <w:r w:rsidR="00536675" w:rsidRPr="00536675">
        <w:t>год и  плановый период 201</w:t>
      </w:r>
      <w:r w:rsidR="00D16EC1">
        <w:t>9</w:t>
      </w:r>
      <w:r w:rsidR="00043B1C">
        <w:t xml:space="preserve"> </w:t>
      </w:r>
      <w:r w:rsidR="006F4975">
        <w:t>и</w:t>
      </w:r>
      <w:r w:rsidR="00536675" w:rsidRPr="00536675">
        <w:t xml:space="preserve"> 20</w:t>
      </w:r>
      <w:r w:rsidR="00D16EC1">
        <w:t>20</w:t>
      </w:r>
      <w:r w:rsidR="00536675" w:rsidRPr="00536675">
        <w:t xml:space="preserve"> годов» подготовлено в соответствии с Бюджетным Кодексом Российской Федерации, Положением о бюджетном процессе в муниципальном образовании</w:t>
      </w:r>
      <w:proofErr w:type="gramEnd"/>
      <w:r w:rsidR="00536675" w:rsidRPr="00536675">
        <w:t xml:space="preserve"> </w:t>
      </w:r>
      <w:r w:rsidR="000C6E27">
        <w:t>Ким</w:t>
      </w:r>
      <w:r w:rsidR="00536675" w:rsidRPr="00536675">
        <w:t xml:space="preserve">овский район, утвержденным решением Собрания </w:t>
      </w:r>
      <w:r w:rsidR="000C6E27">
        <w:t>п</w:t>
      </w:r>
      <w:r w:rsidR="00536675" w:rsidRPr="00536675">
        <w:t xml:space="preserve">редставителей муниципального образования </w:t>
      </w:r>
      <w:r w:rsidR="000C6E27">
        <w:t>Ким</w:t>
      </w:r>
      <w:r w:rsidR="00536675" w:rsidRPr="00536675">
        <w:t>овский район от 2</w:t>
      </w:r>
      <w:r w:rsidR="000C6E27">
        <w:t>8</w:t>
      </w:r>
      <w:r w:rsidR="00536675" w:rsidRPr="00536675">
        <w:t>.</w:t>
      </w:r>
      <w:r w:rsidR="008E3FFF">
        <w:t>11</w:t>
      </w:r>
      <w:r w:rsidR="00536675" w:rsidRPr="00536675">
        <w:t>.20</w:t>
      </w:r>
      <w:r w:rsidR="008E3FFF">
        <w:t>13</w:t>
      </w:r>
      <w:r w:rsidR="00536675" w:rsidRPr="00536675">
        <w:t xml:space="preserve"> № </w:t>
      </w:r>
      <w:r w:rsidR="008E3FFF">
        <w:t>6</w:t>
      </w:r>
      <w:r w:rsidR="00536675" w:rsidRPr="00536675">
        <w:t>-</w:t>
      </w:r>
      <w:r w:rsidR="008E3FFF">
        <w:t>21</w:t>
      </w:r>
      <w:r w:rsidR="000C6E27" w:rsidRPr="000C6E27">
        <w:t xml:space="preserve"> «Об утверждении</w:t>
      </w:r>
      <w:r w:rsidR="008E3FFF">
        <w:t xml:space="preserve"> новой редакции</w:t>
      </w:r>
      <w:r w:rsidR="000C6E27">
        <w:t xml:space="preserve"> </w:t>
      </w:r>
      <w:r w:rsidR="000C6E27" w:rsidRPr="000C6E27">
        <w:t>Положения «О бюджетном процессе в муниципальном образовании Кимовский район»</w:t>
      </w:r>
      <w:r w:rsidR="008E3FFF">
        <w:t>,</w:t>
      </w:r>
      <w:r w:rsidR="000C6E27">
        <w:t xml:space="preserve"> </w:t>
      </w:r>
      <w:r w:rsidR="00536675" w:rsidRPr="00536675">
        <w:t>иными нормативными правовыми актами, регулирующими вопросы бюджетного планирования и бюджетной деятельности субъектов Российской Федерации и муниципальных образований.</w:t>
      </w:r>
    </w:p>
    <w:p w:rsidR="002A48D7" w:rsidRDefault="000C6E27" w:rsidP="00D16EC1">
      <w:pPr>
        <w:jc w:val="both"/>
      </w:pPr>
      <w:r>
        <w:t xml:space="preserve">         </w:t>
      </w:r>
      <w:proofErr w:type="gramStart"/>
      <w:r w:rsidR="002A48D7" w:rsidRPr="00F41DF4">
        <w:t xml:space="preserve">При подготовке данного заключения Экспертный совет по проведению публичной независимой экспертизы законопроектов в области бюджетного и налогового законодательства проанализировал документы, внесенные одновременно с проектом решения </w:t>
      </w:r>
      <w:r w:rsidR="002A48D7" w:rsidRPr="002A48D7">
        <w:t xml:space="preserve">«О внесении изменений в </w:t>
      </w:r>
      <w:r>
        <w:t>р</w:t>
      </w:r>
      <w:r w:rsidR="002A48D7" w:rsidRPr="002A48D7">
        <w:t xml:space="preserve">ешение Собрания представителей муниципального образования </w:t>
      </w:r>
      <w:r>
        <w:t>Ким</w:t>
      </w:r>
      <w:r w:rsidR="002A48D7" w:rsidRPr="002A48D7">
        <w:t xml:space="preserve">овский район от </w:t>
      </w:r>
      <w:r>
        <w:t>1</w:t>
      </w:r>
      <w:r w:rsidR="008536C9">
        <w:t>4</w:t>
      </w:r>
      <w:r w:rsidR="002A48D7" w:rsidRPr="002A48D7">
        <w:t xml:space="preserve"> </w:t>
      </w:r>
      <w:r w:rsidR="008536C9">
        <w:t>декабря</w:t>
      </w:r>
      <w:r w:rsidR="002A48D7" w:rsidRPr="002A48D7">
        <w:t xml:space="preserve"> 201</w:t>
      </w:r>
      <w:r w:rsidR="00D16EC1">
        <w:t>7</w:t>
      </w:r>
      <w:r w:rsidR="002A48D7" w:rsidRPr="002A48D7">
        <w:t xml:space="preserve"> года №</w:t>
      </w:r>
      <w:r w:rsidR="00043B1C">
        <w:t xml:space="preserve"> </w:t>
      </w:r>
      <w:r w:rsidR="008536C9">
        <w:t>9</w:t>
      </w:r>
      <w:r w:rsidR="00D16EC1">
        <w:t>1</w:t>
      </w:r>
      <w:r w:rsidR="008536C9">
        <w:t>-</w:t>
      </w:r>
      <w:r w:rsidR="00D16EC1">
        <w:t>459</w:t>
      </w:r>
      <w:r w:rsidR="002A48D7" w:rsidRPr="002A48D7">
        <w:t xml:space="preserve"> «О бюджете муниципального образования </w:t>
      </w:r>
      <w:r>
        <w:t>Ким</w:t>
      </w:r>
      <w:r w:rsidR="002A48D7" w:rsidRPr="002A48D7">
        <w:t>овский район на 201</w:t>
      </w:r>
      <w:r w:rsidR="00D16EC1">
        <w:t>8</w:t>
      </w:r>
      <w:r w:rsidR="00043B1C">
        <w:t xml:space="preserve"> </w:t>
      </w:r>
      <w:r w:rsidR="002A48D7" w:rsidRPr="002A48D7">
        <w:t>год и  плановый период 201</w:t>
      </w:r>
      <w:r w:rsidR="00D16EC1">
        <w:t>9</w:t>
      </w:r>
      <w:r w:rsidR="009F18AB">
        <w:t xml:space="preserve"> и</w:t>
      </w:r>
      <w:r w:rsidR="002A48D7" w:rsidRPr="002A48D7">
        <w:t xml:space="preserve"> 20</w:t>
      </w:r>
      <w:r w:rsidR="00D16EC1">
        <w:t>20</w:t>
      </w:r>
      <w:r w:rsidR="002A48D7" w:rsidRPr="002A48D7">
        <w:t xml:space="preserve"> годов»</w:t>
      </w:r>
      <w:r w:rsidR="002A48D7" w:rsidRPr="00B242FC">
        <w:rPr>
          <w:b/>
        </w:rPr>
        <w:t xml:space="preserve"> </w:t>
      </w:r>
      <w:r w:rsidR="002A48D7" w:rsidRPr="00F41DF4">
        <w:t xml:space="preserve"> (далее по</w:t>
      </w:r>
      <w:proofErr w:type="gramEnd"/>
      <w:r w:rsidR="002A48D7" w:rsidRPr="00F41DF4">
        <w:t xml:space="preserve"> тексту – «проект Решения»), а именно:</w:t>
      </w:r>
    </w:p>
    <w:p w:rsidR="00F736EC" w:rsidRDefault="00F736EC" w:rsidP="0098176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Уточненный перечень администраторов доходов муни</w:t>
      </w:r>
      <w:r w:rsidR="00C33D00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Кимовский район на 2018 год (приложение 1)</w:t>
      </w:r>
    </w:p>
    <w:p w:rsidR="00556795" w:rsidRDefault="00F6452A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566F">
        <w:rPr>
          <w:rFonts w:ascii="Times New Roman" w:hAnsi="Times New Roman" w:cs="Times New Roman"/>
          <w:sz w:val="24"/>
          <w:szCs w:val="24"/>
        </w:rPr>
        <w:t xml:space="preserve"> </w:t>
      </w:r>
      <w:r w:rsidR="009124BF">
        <w:rPr>
          <w:rFonts w:ascii="Times New Roman" w:hAnsi="Times New Roman" w:cs="Times New Roman"/>
          <w:sz w:val="24"/>
          <w:szCs w:val="24"/>
        </w:rPr>
        <w:t>-</w:t>
      </w:r>
      <w:r w:rsidR="00556795">
        <w:rPr>
          <w:rFonts w:ascii="Times New Roman" w:hAnsi="Times New Roman" w:cs="Times New Roman"/>
          <w:sz w:val="24"/>
          <w:szCs w:val="24"/>
        </w:rPr>
        <w:t>уточненные  доходы бюджета муниципального образования Кимовский район  по группам, подгруппам и  статьям   классификации доходов бюджетов Российской Федерации на 201</w:t>
      </w:r>
      <w:r w:rsidR="00F736EC">
        <w:rPr>
          <w:rFonts w:ascii="Times New Roman" w:hAnsi="Times New Roman" w:cs="Times New Roman"/>
          <w:sz w:val="24"/>
          <w:szCs w:val="24"/>
        </w:rPr>
        <w:t>8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F736EC">
        <w:rPr>
          <w:rFonts w:ascii="Times New Roman" w:hAnsi="Times New Roman" w:cs="Times New Roman"/>
          <w:sz w:val="24"/>
          <w:szCs w:val="24"/>
        </w:rPr>
        <w:t>9</w:t>
      </w:r>
      <w:r w:rsidR="00556795">
        <w:rPr>
          <w:rFonts w:ascii="Times New Roman" w:hAnsi="Times New Roman" w:cs="Times New Roman"/>
          <w:sz w:val="24"/>
          <w:szCs w:val="24"/>
        </w:rPr>
        <w:t xml:space="preserve"> и 20</w:t>
      </w:r>
      <w:r w:rsidR="00F736EC">
        <w:rPr>
          <w:rFonts w:ascii="Times New Roman" w:hAnsi="Times New Roman" w:cs="Times New Roman"/>
          <w:sz w:val="24"/>
          <w:szCs w:val="24"/>
        </w:rPr>
        <w:t>20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годов (приложение </w:t>
      </w:r>
      <w:r w:rsidR="00F736EC">
        <w:rPr>
          <w:rFonts w:ascii="Times New Roman" w:hAnsi="Times New Roman" w:cs="Times New Roman"/>
          <w:sz w:val="24"/>
          <w:szCs w:val="24"/>
        </w:rPr>
        <w:t>2</w:t>
      </w:r>
      <w:r w:rsidR="0055679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56795" w:rsidRDefault="009124BF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</w:t>
      </w:r>
      <w:r w:rsidR="00556795">
        <w:rPr>
          <w:rFonts w:ascii="Times New Roman" w:hAnsi="Times New Roman" w:cs="Times New Roman"/>
          <w:sz w:val="24"/>
          <w:szCs w:val="24"/>
        </w:rPr>
        <w:t>уточненное р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 бюджета муниципального образования Кимовский район по разделам, подразделам, 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 xml:space="preserve">(муниципальным программам и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направлениям), группам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8536C9">
        <w:rPr>
          <w:rFonts w:ascii="Times New Roman" w:hAnsi="Times New Roman" w:cs="Times New Roman"/>
          <w:sz w:val="24"/>
          <w:szCs w:val="24"/>
        </w:rPr>
        <w:t xml:space="preserve">и подгруппам </w:t>
      </w:r>
      <w:proofErr w:type="gramStart"/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556795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Кимовский район на 201</w:t>
      </w:r>
      <w:r w:rsidR="00F736EC">
        <w:rPr>
          <w:rFonts w:ascii="Times New Roman" w:hAnsi="Times New Roman" w:cs="Times New Roman"/>
          <w:sz w:val="24"/>
          <w:szCs w:val="24"/>
        </w:rPr>
        <w:t>8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F736EC">
        <w:rPr>
          <w:rFonts w:ascii="Times New Roman" w:hAnsi="Times New Roman" w:cs="Times New Roman"/>
          <w:sz w:val="24"/>
          <w:szCs w:val="24"/>
        </w:rPr>
        <w:t>3</w:t>
      </w:r>
      <w:r w:rsidR="00556795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F736EC" w:rsidRDefault="00F736EC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-уточненное р</w:t>
      </w:r>
      <w:r w:rsidRPr="00EC6797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 бюджета муниципального образования Кимовский район по разделам, подразделам, целевым статьям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направлениям), группам</w:t>
      </w:r>
      <w:r w:rsidRPr="00EC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подгруппам </w:t>
      </w:r>
      <w:proofErr w:type="gramStart"/>
      <w:r w:rsidRPr="00EC6797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Кимовский район на плановый перио</w:t>
      </w:r>
      <w:r w:rsidR="00C33D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2019 и 2020 годов (приложение 4);</w:t>
      </w:r>
    </w:p>
    <w:p w:rsidR="00556795" w:rsidRDefault="009124BF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</w:t>
      </w:r>
      <w:r w:rsidR="00556795">
        <w:rPr>
          <w:rFonts w:ascii="Times New Roman" w:hAnsi="Times New Roman" w:cs="Times New Roman"/>
          <w:sz w:val="24"/>
          <w:szCs w:val="24"/>
        </w:rPr>
        <w:t>уточненный перечень и объем бюджетных ассигнований бюджета  муниципального образования Кимовский район на финансовое обеспечение реализации муниципальных программ муниципального образования Кимовский район по раздела</w:t>
      </w:r>
      <w:r w:rsidR="00C33D00">
        <w:rPr>
          <w:rFonts w:ascii="Times New Roman" w:hAnsi="Times New Roman" w:cs="Times New Roman"/>
          <w:sz w:val="24"/>
          <w:szCs w:val="24"/>
        </w:rPr>
        <w:t>м, подразделам, целевым статьям</w:t>
      </w:r>
      <w:r w:rsidR="00556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795">
        <w:rPr>
          <w:rFonts w:ascii="Times New Roman" w:hAnsi="Times New Roman" w:cs="Times New Roman"/>
          <w:sz w:val="24"/>
          <w:szCs w:val="24"/>
        </w:rPr>
        <w:t>расходов классификации расходов бюджета 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Кимовский район на 201</w:t>
      </w:r>
      <w:r w:rsidR="00C33D00">
        <w:rPr>
          <w:rFonts w:ascii="Times New Roman" w:hAnsi="Times New Roman" w:cs="Times New Roman"/>
          <w:sz w:val="24"/>
          <w:szCs w:val="24"/>
        </w:rPr>
        <w:t>8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  (приложение </w:t>
      </w:r>
      <w:r w:rsidR="00F736EC">
        <w:rPr>
          <w:rFonts w:ascii="Times New Roman" w:hAnsi="Times New Roman" w:cs="Times New Roman"/>
          <w:sz w:val="24"/>
          <w:szCs w:val="24"/>
        </w:rPr>
        <w:t>5</w:t>
      </w:r>
      <w:r w:rsidR="00556795">
        <w:rPr>
          <w:rFonts w:ascii="Times New Roman" w:hAnsi="Times New Roman" w:cs="Times New Roman"/>
          <w:sz w:val="24"/>
          <w:szCs w:val="24"/>
        </w:rPr>
        <w:t>);</w:t>
      </w:r>
    </w:p>
    <w:p w:rsidR="00556795" w:rsidRDefault="00E2691E" w:rsidP="0055679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24BF">
        <w:rPr>
          <w:rFonts w:ascii="Times New Roman" w:hAnsi="Times New Roman" w:cs="Times New Roman"/>
          <w:sz w:val="24"/>
          <w:szCs w:val="24"/>
        </w:rPr>
        <w:t xml:space="preserve">   -</w:t>
      </w:r>
      <w:r w:rsidR="00556795">
        <w:rPr>
          <w:rFonts w:ascii="Times New Roman" w:hAnsi="Times New Roman" w:cs="Times New Roman"/>
          <w:sz w:val="24"/>
          <w:szCs w:val="24"/>
        </w:rPr>
        <w:t>уточненную в</w:t>
      </w:r>
      <w:r w:rsidR="00556795" w:rsidRPr="009F13E2">
        <w:rPr>
          <w:rFonts w:ascii="Times New Roman" w:hAnsi="Times New Roman" w:cs="Times New Roman"/>
          <w:sz w:val="24"/>
          <w:szCs w:val="24"/>
        </w:rPr>
        <w:t>едомственн</w:t>
      </w:r>
      <w:r w:rsidR="00556795">
        <w:rPr>
          <w:rFonts w:ascii="Times New Roman" w:hAnsi="Times New Roman" w:cs="Times New Roman"/>
          <w:sz w:val="24"/>
          <w:szCs w:val="24"/>
        </w:rPr>
        <w:t>ую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556795">
        <w:rPr>
          <w:rFonts w:ascii="Times New Roman" w:hAnsi="Times New Roman" w:cs="Times New Roman"/>
          <w:sz w:val="24"/>
          <w:szCs w:val="24"/>
        </w:rPr>
        <w:t>у</w:t>
      </w:r>
      <w:r w:rsidR="00556795" w:rsidRPr="009F13E2">
        <w:rPr>
          <w:rFonts w:ascii="Times New Roman" w:hAnsi="Times New Roman" w:cs="Times New Roman"/>
          <w:sz w:val="24"/>
          <w:szCs w:val="24"/>
        </w:rPr>
        <w:t xml:space="preserve"> расходов бюджета муниципального образования Кимовский район </w:t>
      </w:r>
      <w:r w:rsidR="00556795">
        <w:rPr>
          <w:rFonts w:ascii="Times New Roman" w:hAnsi="Times New Roman" w:cs="Times New Roman"/>
          <w:sz w:val="24"/>
          <w:szCs w:val="24"/>
        </w:rPr>
        <w:t xml:space="preserve">по разделам, подразделам, 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 w:rsidR="00556795">
        <w:rPr>
          <w:rFonts w:ascii="Times New Roman" w:hAnsi="Times New Roman" w:cs="Times New Roman"/>
          <w:sz w:val="24"/>
          <w:szCs w:val="24"/>
        </w:rPr>
        <w:t xml:space="preserve">(муниципальным программам и </w:t>
      </w:r>
      <w:proofErr w:type="spellStart"/>
      <w:r w:rsidR="00556795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="00556795">
        <w:rPr>
          <w:rFonts w:ascii="Times New Roman" w:hAnsi="Times New Roman" w:cs="Times New Roman"/>
          <w:sz w:val="24"/>
          <w:szCs w:val="24"/>
        </w:rPr>
        <w:t xml:space="preserve"> направлениям), </w:t>
      </w:r>
      <w:r w:rsidR="008536C9">
        <w:rPr>
          <w:rFonts w:ascii="Times New Roman" w:hAnsi="Times New Roman" w:cs="Times New Roman"/>
          <w:sz w:val="24"/>
          <w:szCs w:val="24"/>
        </w:rPr>
        <w:t xml:space="preserve">группам и подгруппам </w:t>
      </w:r>
      <w:proofErr w:type="gramStart"/>
      <w:r w:rsidR="00556795" w:rsidRPr="00EC6797">
        <w:rPr>
          <w:rFonts w:ascii="Times New Roman" w:hAnsi="Times New Roman" w:cs="Times New Roman"/>
          <w:sz w:val="24"/>
          <w:szCs w:val="24"/>
        </w:rPr>
        <w:t>вид</w:t>
      </w:r>
      <w:r w:rsidR="008536C9">
        <w:rPr>
          <w:rFonts w:ascii="Times New Roman" w:hAnsi="Times New Roman" w:cs="Times New Roman"/>
          <w:sz w:val="24"/>
          <w:szCs w:val="24"/>
        </w:rPr>
        <w:t>ов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 w:rsidR="00556795">
        <w:rPr>
          <w:rFonts w:ascii="Times New Roman" w:hAnsi="Times New Roman" w:cs="Times New Roman"/>
          <w:sz w:val="24"/>
          <w:szCs w:val="24"/>
        </w:rPr>
        <w:t>а</w:t>
      </w:r>
      <w:r w:rsidR="00556795" w:rsidRPr="00EC6797">
        <w:rPr>
          <w:rFonts w:ascii="Times New Roman" w:hAnsi="Times New Roman" w:cs="Times New Roman"/>
          <w:sz w:val="24"/>
          <w:szCs w:val="24"/>
        </w:rPr>
        <w:t xml:space="preserve"> </w:t>
      </w:r>
      <w:r w:rsidR="0055679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556795">
        <w:rPr>
          <w:rFonts w:ascii="Times New Roman" w:hAnsi="Times New Roman" w:cs="Times New Roman"/>
          <w:sz w:val="24"/>
          <w:szCs w:val="24"/>
        </w:rPr>
        <w:t xml:space="preserve"> Кимовский район на 201</w:t>
      </w:r>
      <w:r w:rsidR="00F736EC">
        <w:rPr>
          <w:rFonts w:ascii="Times New Roman" w:hAnsi="Times New Roman" w:cs="Times New Roman"/>
          <w:sz w:val="24"/>
          <w:szCs w:val="24"/>
        </w:rPr>
        <w:t>8</w:t>
      </w:r>
      <w:r w:rsidR="00556795">
        <w:rPr>
          <w:rFonts w:ascii="Times New Roman" w:hAnsi="Times New Roman" w:cs="Times New Roman"/>
          <w:sz w:val="24"/>
          <w:szCs w:val="24"/>
        </w:rPr>
        <w:t xml:space="preserve"> год</w:t>
      </w:r>
      <w:r w:rsidR="00F04FB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736EC">
        <w:rPr>
          <w:rFonts w:ascii="Times New Roman" w:hAnsi="Times New Roman" w:cs="Times New Roman"/>
          <w:sz w:val="24"/>
          <w:szCs w:val="24"/>
        </w:rPr>
        <w:t>6</w:t>
      </w:r>
      <w:r w:rsidR="00F04FBA">
        <w:rPr>
          <w:rFonts w:ascii="Times New Roman" w:hAnsi="Times New Roman" w:cs="Times New Roman"/>
          <w:sz w:val="24"/>
          <w:szCs w:val="24"/>
        </w:rPr>
        <w:t>)</w:t>
      </w:r>
      <w:r w:rsidR="00556795" w:rsidRPr="00EC6797">
        <w:rPr>
          <w:rFonts w:ascii="Times New Roman" w:hAnsi="Times New Roman" w:cs="Times New Roman"/>
          <w:sz w:val="24"/>
          <w:szCs w:val="24"/>
        </w:rPr>
        <w:t>;</w:t>
      </w:r>
    </w:p>
    <w:p w:rsidR="00F736EC" w:rsidRDefault="00F736EC" w:rsidP="00F736EC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-уточненную в</w:t>
      </w:r>
      <w:r w:rsidRPr="009F13E2">
        <w:rPr>
          <w:rFonts w:ascii="Times New Roman" w:hAnsi="Times New Roman" w:cs="Times New Roman"/>
          <w:sz w:val="24"/>
          <w:szCs w:val="24"/>
        </w:rPr>
        <w:t>едомственн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9F13E2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13E2">
        <w:rPr>
          <w:rFonts w:ascii="Times New Roman" w:hAnsi="Times New Roman" w:cs="Times New Roman"/>
          <w:sz w:val="24"/>
          <w:szCs w:val="24"/>
        </w:rPr>
        <w:t xml:space="preserve"> расходов бюджета муниципального образования Кимовский район </w:t>
      </w:r>
      <w:r>
        <w:rPr>
          <w:rFonts w:ascii="Times New Roman" w:hAnsi="Times New Roman" w:cs="Times New Roman"/>
          <w:sz w:val="24"/>
          <w:szCs w:val="24"/>
        </w:rPr>
        <w:t xml:space="preserve">по разделам, подразделам, </w:t>
      </w:r>
      <w:r w:rsidRPr="00EC6797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(муниципальным программам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направлениям), группам и подгруппам </w:t>
      </w:r>
      <w:proofErr w:type="gramStart"/>
      <w:r w:rsidRPr="00EC6797"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6797">
        <w:rPr>
          <w:rFonts w:ascii="Times New Roman" w:hAnsi="Times New Roman" w:cs="Times New Roman"/>
          <w:sz w:val="24"/>
          <w:szCs w:val="24"/>
        </w:rPr>
        <w:t xml:space="preserve"> расходов  классификации расходов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Кимовский район на плановый перио</w:t>
      </w:r>
      <w:r w:rsidR="00C33D0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2019 и 2020 годов (приложение 7)</w:t>
      </w:r>
      <w:r w:rsidRPr="00EC6797">
        <w:rPr>
          <w:rFonts w:ascii="Times New Roman" w:hAnsi="Times New Roman" w:cs="Times New Roman"/>
          <w:sz w:val="24"/>
          <w:szCs w:val="24"/>
        </w:rPr>
        <w:t>;</w:t>
      </w:r>
    </w:p>
    <w:p w:rsidR="00556795" w:rsidRDefault="00556795" w:rsidP="00556795">
      <w:pPr>
        <w:jc w:val="both"/>
      </w:pPr>
      <w:r>
        <w:t xml:space="preserve">        -</w:t>
      </w:r>
      <w:r w:rsidRPr="009F13E2">
        <w:t xml:space="preserve"> </w:t>
      </w:r>
      <w:r w:rsidR="00F04FBA">
        <w:t xml:space="preserve">уточненное </w:t>
      </w:r>
      <w:r w:rsidRPr="009F13E2">
        <w:t xml:space="preserve">распределение </w:t>
      </w:r>
      <w:r w:rsidR="00A3134F">
        <w:t>дотаций</w:t>
      </w:r>
      <w:r w:rsidR="00E2691E">
        <w:t xml:space="preserve">, субсидий и иных межбюджетных трансфертов </w:t>
      </w:r>
      <w:r w:rsidRPr="009F13E2">
        <w:t>на 201</w:t>
      </w:r>
      <w:r w:rsidR="00C33D00">
        <w:t>8</w:t>
      </w:r>
      <w:r w:rsidRPr="009F13E2">
        <w:t xml:space="preserve"> год и на плановый период 201</w:t>
      </w:r>
      <w:r w:rsidR="00C33D00">
        <w:t>9</w:t>
      </w:r>
      <w:r w:rsidRPr="009F13E2">
        <w:t xml:space="preserve"> и 20</w:t>
      </w:r>
      <w:r w:rsidR="00C33D00">
        <w:t>20</w:t>
      </w:r>
      <w:r w:rsidRPr="009F13E2">
        <w:t xml:space="preserve"> годов</w:t>
      </w:r>
      <w:r w:rsidR="00F04FBA">
        <w:t xml:space="preserve"> (приложение </w:t>
      </w:r>
      <w:r w:rsidR="00F736EC">
        <w:t>8</w:t>
      </w:r>
      <w:r w:rsidR="00F04FBA">
        <w:t>)</w:t>
      </w:r>
      <w:r>
        <w:t>;</w:t>
      </w:r>
    </w:p>
    <w:p w:rsidR="00E2691E" w:rsidRDefault="009124BF" w:rsidP="00556795">
      <w:pPr>
        <w:jc w:val="both"/>
      </w:pPr>
      <w:r>
        <w:t xml:space="preserve">        </w:t>
      </w:r>
      <w:r w:rsidR="00E2691E">
        <w:t>-уточненное р</w:t>
      </w:r>
      <w:r w:rsidR="00E2691E" w:rsidRPr="009F13E2">
        <w:t xml:space="preserve">аспределение </w:t>
      </w:r>
      <w:proofErr w:type="gramStart"/>
      <w:r w:rsidR="00E2691E" w:rsidRPr="009F13E2">
        <w:t>источников финансирования дефицита бюджета муниципального образования</w:t>
      </w:r>
      <w:proofErr w:type="gramEnd"/>
      <w:r w:rsidR="00E2691E" w:rsidRPr="009F13E2">
        <w:t xml:space="preserve"> Кимовский район на </w:t>
      </w:r>
      <w:r w:rsidR="00F6452A">
        <w:t>201</w:t>
      </w:r>
      <w:r w:rsidR="00F736EC">
        <w:t>8</w:t>
      </w:r>
      <w:r w:rsidR="00F6452A">
        <w:t xml:space="preserve"> год</w:t>
      </w:r>
      <w:r w:rsidR="00E2691E">
        <w:t xml:space="preserve"> (приложение </w:t>
      </w:r>
      <w:r w:rsidR="00F736EC">
        <w:t>9</w:t>
      </w:r>
      <w:r w:rsidR="00E2691E">
        <w:t>).</w:t>
      </w:r>
    </w:p>
    <w:p w:rsidR="00F04FBA" w:rsidRDefault="00F04FBA" w:rsidP="004E7AD9">
      <w:pPr>
        <w:jc w:val="both"/>
      </w:pPr>
    </w:p>
    <w:p w:rsidR="00F24930" w:rsidRDefault="00D0229E" w:rsidP="004E7AD9">
      <w:pPr>
        <w:jc w:val="both"/>
      </w:pPr>
      <w:r>
        <w:t xml:space="preserve">         </w:t>
      </w:r>
      <w:r w:rsidR="00E31E6A">
        <w:t>Перечень и содержание материалов к проекту решения соответствуют требованиям Бюджетного кодекса</w:t>
      </w:r>
      <w:r w:rsidR="00282E06">
        <w:t xml:space="preserve"> Российской Федерации.</w:t>
      </w:r>
    </w:p>
    <w:p w:rsidR="00282E06" w:rsidRDefault="00282E06" w:rsidP="004E7AD9">
      <w:pPr>
        <w:jc w:val="both"/>
      </w:pPr>
      <w:r>
        <w:t xml:space="preserve">         </w:t>
      </w:r>
      <w:r w:rsidR="00023F81">
        <w:t>На рассмотрение Собранием представителей муниципального образования Кимовский район проект решения внесен глав</w:t>
      </w:r>
      <w:r w:rsidR="00F6452A">
        <w:t>ой</w:t>
      </w:r>
      <w:r w:rsidR="00023F81">
        <w:t xml:space="preserve"> администрации муниципального образования Кимовский район, согласно статье 16 Устава муниципального образования Кимовский район.</w:t>
      </w:r>
    </w:p>
    <w:p w:rsidR="00E31E6A" w:rsidRDefault="00023F81" w:rsidP="004E7AD9">
      <w:pPr>
        <w:jc w:val="both"/>
      </w:pPr>
      <w:r>
        <w:t xml:space="preserve">        Проект решения подготовлен на основе ожидаемого исполнения бюджета в 201</w:t>
      </w:r>
      <w:r w:rsidR="00F736EC">
        <w:t>8</w:t>
      </w:r>
      <w:r>
        <w:t xml:space="preserve"> году</w:t>
      </w:r>
      <w:r w:rsidR="00F04FBA">
        <w:t>.</w:t>
      </w:r>
      <w:r w:rsidR="00D0229E">
        <w:t xml:space="preserve"> </w:t>
      </w:r>
    </w:p>
    <w:p w:rsidR="00350740" w:rsidRDefault="00350740" w:rsidP="00350740">
      <w:pPr>
        <w:rPr>
          <w:b/>
        </w:rPr>
      </w:pPr>
    </w:p>
    <w:p w:rsidR="009D7EEF" w:rsidRDefault="009D7EEF" w:rsidP="009D7EEF">
      <w:pPr>
        <w:jc w:val="center"/>
        <w:rPr>
          <w:b/>
        </w:rPr>
      </w:pPr>
      <w:r w:rsidRPr="009D7EEF">
        <w:rPr>
          <w:b/>
        </w:rPr>
        <w:t>Доходы бюджета</w:t>
      </w:r>
    </w:p>
    <w:p w:rsidR="0023758C" w:rsidRDefault="0023758C" w:rsidP="009D7EEF">
      <w:pPr>
        <w:jc w:val="center"/>
        <w:rPr>
          <w:b/>
        </w:rPr>
      </w:pPr>
    </w:p>
    <w:p w:rsidR="00BA2A84" w:rsidRDefault="00BA2A84" w:rsidP="00BA2A84">
      <w:pPr>
        <w:jc w:val="both"/>
      </w:pPr>
      <w:r>
        <w:rPr>
          <w:b/>
        </w:rPr>
        <w:t xml:space="preserve">    </w:t>
      </w:r>
      <w:r w:rsidR="00AE4EF4">
        <w:rPr>
          <w:b/>
        </w:rPr>
        <w:t xml:space="preserve">    </w:t>
      </w:r>
      <w:r>
        <w:t xml:space="preserve">Суммарный объем доходных источников бюджетных </w:t>
      </w:r>
      <w:r w:rsidR="00AB32A9">
        <w:t xml:space="preserve">средств планируется </w:t>
      </w:r>
      <w:r w:rsidR="008536C9">
        <w:t>увеличить</w:t>
      </w:r>
      <w:r w:rsidR="00AB32A9">
        <w:t xml:space="preserve"> в</w:t>
      </w:r>
      <w:r>
        <w:t xml:space="preserve"> 201</w:t>
      </w:r>
      <w:r w:rsidR="00D16EC1">
        <w:t>8</w:t>
      </w:r>
      <w:r>
        <w:t xml:space="preserve"> год</w:t>
      </w:r>
      <w:r w:rsidR="00AB32A9">
        <w:t>у</w:t>
      </w:r>
      <w:r>
        <w:t xml:space="preserve"> с </w:t>
      </w:r>
      <w:r w:rsidR="008536C9">
        <w:t>7</w:t>
      </w:r>
      <w:r w:rsidR="00D16EC1">
        <w:t>55279,8</w:t>
      </w:r>
      <w:r>
        <w:t xml:space="preserve"> тыс</w:t>
      </w:r>
      <w:proofErr w:type="gramStart"/>
      <w:r>
        <w:t>.р</w:t>
      </w:r>
      <w:proofErr w:type="gramEnd"/>
      <w:r>
        <w:t xml:space="preserve">ублей до </w:t>
      </w:r>
      <w:r w:rsidR="00D16EC1">
        <w:t>762318,3</w:t>
      </w:r>
      <w:r>
        <w:t xml:space="preserve"> тыс.рублей, т.е. на </w:t>
      </w:r>
      <w:r w:rsidR="00D16EC1">
        <w:t>6938,5</w:t>
      </w:r>
      <w:r w:rsidR="000A383D">
        <w:t xml:space="preserve"> </w:t>
      </w:r>
      <w:r>
        <w:t xml:space="preserve">тыс.рублей или на </w:t>
      </w:r>
      <w:r w:rsidR="00D16EC1">
        <w:t>0,9</w:t>
      </w:r>
      <w:r w:rsidR="00DF7FFD">
        <w:t>%</w:t>
      </w:r>
      <w:r>
        <w:t xml:space="preserve"> План поступления доходов в 201</w:t>
      </w:r>
      <w:r w:rsidR="00D16EC1">
        <w:t>9</w:t>
      </w:r>
      <w:r w:rsidR="00745061">
        <w:t xml:space="preserve"> </w:t>
      </w:r>
      <w:r w:rsidR="00DF7FFD">
        <w:t>и 20</w:t>
      </w:r>
      <w:r w:rsidR="00D16EC1">
        <w:t>20</w:t>
      </w:r>
      <w:r w:rsidR="00DF7FFD">
        <w:t xml:space="preserve"> годах не</w:t>
      </w:r>
      <w:r w:rsidR="00594165">
        <w:t xml:space="preserve"> изменился</w:t>
      </w:r>
      <w:r w:rsidR="00DF7FFD">
        <w:t>.</w:t>
      </w:r>
      <w:r w:rsidR="00594165">
        <w:t xml:space="preserve"> </w:t>
      </w:r>
    </w:p>
    <w:p w:rsidR="007C1D3C" w:rsidRDefault="007C1D3C" w:rsidP="007C1D3C">
      <w:pPr>
        <w:pStyle w:val="a4"/>
      </w:pPr>
      <w:r>
        <w:t xml:space="preserve">        </w:t>
      </w:r>
      <w:proofErr w:type="gramStart"/>
      <w:r>
        <w:t>Изменени</w:t>
      </w:r>
      <w:r w:rsidR="00C34B7F">
        <w:t>е</w:t>
      </w:r>
      <w:r>
        <w:t xml:space="preserve"> сумм  доходной части бюджета района в 201</w:t>
      </w:r>
      <w:r w:rsidR="00D16EC1">
        <w:t>8</w:t>
      </w:r>
      <w:r>
        <w:t xml:space="preserve"> году в разрезе видов поступлений сведены в таблицу 1:  </w:t>
      </w:r>
      <w:proofErr w:type="gramEnd"/>
    </w:p>
    <w:p w:rsidR="007C1D3C" w:rsidRDefault="007C1D3C" w:rsidP="00BA2A84">
      <w:pPr>
        <w:jc w:val="both"/>
      </w:pPr>
    </w:p>
    <w:p w:rsidR="007C1D3C" w:rsidRDefault="007C1D3C" w:rsidP="007C1D3C">
      <w:pPr>
        <w:pStyle w:val="a4"/>
      </w:pPr>
      <w:r>
        <w:t xml:space="preserve">                     Таблица 1 – Предлагаемые изменения доходной части бюджета </w:t>
      </w:r>
    </w:p>
    <w:p w:rsidR="007C1D3C" w:rsidRDefault="007C1D3C" w:rsidP="007C1D3C">
      <w:pPr>
        <w:pStyle w:val="a4"/>
      </w:pPr>
      <w:r>
        <w:t xml:space="preserve">                                 муниципального образования Кимовский район, тыс</w:t>
      </w:r>
      <w:proofErr w:type="gramStart"/>
      <w:r>
        <w:t>.р</w:t>
      </w:r>
      <w:proofErr w:type="gramEnd"/>
      <w:r>
        <w:t>уб.</w:t>
      </w:r>
    </w:p>
    <w:p w:rsidR="007C1D3C" w:rsidRDefault="007C1D3C" w:rsidP="007C1D3C">
      <w:r>
        <w:t xml:space="preserve">                                                              </w:t>
      </w:r>
    </w:p>
    <w:tbl>
      <w:tblPr>
        <w:tblW w:w="4944" w:type="pct"/>
        <w:tblCellMar>
          <w:left w:w="0" w:type="dxa"/>
          <w:right w:w="0" w:type="dxa"/>
        </w:tblCellMar>
        <w:tblLook w:val="0000"/>
      </w:tblPr>
      <w:tblGrid>
        <w:gridCol w:w="4762"/>
        <w:gridCol w:w="1558"/>
        <w:gridCol w:w="1201"/>
        <w:gridCol w:w="1163"/>
        <w:gridCol w:w="1060"/>
      </w:tblGrid>
      <w:tr w:rsidR="007C1D3C" w:rsidTr="00C72125">
        <w:tc>
          <w:tcPr>
            <w:tcW w:w="24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F736EC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736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7C1D3C" w:rsidTr="002017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1D3C" w:rsidRDefault="007C1D3C" w:rsidP="003A0582">
            <w:pPr>
              <w:rPr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Default="007C1D3C" w:rsidP="000E527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</w:t>
            </w:r>
            <w:r w:rsidR="000E5275">
              <w:rPr>
                <w:rFonts w:ascii="Times New Roman" w:hAnsi="Times New Roman" w:cs="Times New Roman"/>
              </w:rPr>
              <w:t>вержденный бюджет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 о внесении изменений в решение о бюджете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+;-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D3C" w:rsidRDefault="007C1D3C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302DB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02DB" w:rsidRPr="00A543B9" w:rsidRDefault="00D302DB" w:rsidP="003A05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Pr="00A543B9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</w:t>
            </w:r>
            <w:r w:rsidR="00D16EC1">
              <w:rPr>
                <w:rFonts w:ascii="Times New Roman" w:hAnsi="Times New Roman" w:cs="Times New Roman"/>
                <w:b/>
              </w:rPr>
              <w:t>153,8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Pr="00A543B9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D16EC1">
              <w:rPr>
                <w:rFonts w:ascii="Times New Roman" w:hAnsi="Times New Roman" w:cs="Times New Roman"/>
                <w:b/>
              </w:rPr>
              <w:t>8785,6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Pr="00A543B9" w:rsidRDefault="00836E4E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6631,8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2DB" w:rsidRPr="00A543B9" w:rsidRDefault="00836E4E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- налоги на прибыль,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6EC1">
              <w:rPr>
                <w:rFonts w:ascii="Times New Roman" w:hAnsi="Times New Roman" w:cs="Times New Roman"/>
              </w:rPr>
              <w:t>0799,4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6EC1">
              <w:rPr>
                <w:rFonts w:ascii="Times New Roman" w:hAnsi="Times New Roman" w:cs="Times New Roman"/>
              </w:rPr>
              <w:t>0799,4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-налоги на товары (работы, услуги) реализуемые на территории Российской Федерации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68</w:t>
            </w:r>
            <w:r w:rsidR="00D16EC1">
              <w:rPr>
                <w:rFonts w:ascii="Times New Roman" w:hAnsi="Times New Roman" w:cs="Times New Roman"/>
              </w:rPr>
              <w:t>871,0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68</w:t>
            </w:r>
            <w:r w:rsidR="00D16EC1">
              <w:rPr>
                <w:rFonts w:ascii="Times New Roman" w:hAnsi="Times New Roman" w:cs="Times New Roman"/>
              </w:rPr>
              <w:t>871,0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совокупный доход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45713,2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налоги на имущество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80991,1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80991,1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государственная пошлина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6EC1">
              <w:rPr>
                <w:rFonts w:ascii="Times New Roman" w:hAnsi="Times New Roman" w:cs="Times New Roman"/>
              </w:rPr>
              <w:t>301,4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6EC1">
              <w:rPr>
                <w:rFonts w:ascii="Times New Roman" w:hAnsi="Times New Roman" w:cs="Times New Roman"/>
              </w:rPr>
              <w:t>301,4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10143,9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11093,9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платежи при пользовании природными ресурсами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оказания платных услуг (работ) и компенсации затрат государства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6EC1">
              <w:rPr>
                <w:rFonts w:ascii="Times New Roman" w:hAnsi="Times New Roman" w:cs="Times New Roman"/>
              </w:rPr>
              <w:t>2805,2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16EC1">
              <w:rPr>
                <w:rFonts w:ascii="Times New Roman" w:hAnsi="Times New Roman" w:cs="Times New Roman"/>
              </w:rPr>
              <w:t>2806,5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доходы от продажи материальных и нематериальных активов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6EC1">
              <w:rPr>
                <w:rFonts w:ascii="Times New Roman" w:hAnsi="Times New Roman" w:cs="Times New Roman"/>
              </w:rPr>
              <w:t>5849,0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C11DA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20949,0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-штрафы, санкции, возмещение ущерба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16EC1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1904,6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D16EC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6EC1">
              <w:rPr>
                <w:rFonts w:ascii="Times New Roman" w:hAnsi="Times New Roman" w:cs="Times New Roman"/>
              </w:rPr>
              <w:t>404,6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836E4E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</w:tr>
      <w:tr w:rsidR="005411E8" w:rsidTr="0020177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1E8" w:rsidRDefault="005411E8" w:rsidP="003A0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прочие неналоговые доходы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D566F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CA02E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AF6AC3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A543B9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>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D16EC1" w:rsidP="00901E6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413226,0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D16EC1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413532,7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DC6CC4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DC6CC4" w:rsidP="005411E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</w:t>
            </w:r>
          </w:p>
        </w:tc>
      </w:tr>
      <w:tr w:rsidR="005411E8" w:rsidTr="00C72125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A543B9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 системы РФ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5B11AE" w:rsidRDefault="00D16EC1" w:rsidP="00901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412382,0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5B11AE" w:rsidRDefault="00D16EC1" w:rsidP="003638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412382,0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5B11AE" w:rsidRDefault="00836E4E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5B11AE" w:rsidRDefault="00836E4E" w:rsidP="00DF7FF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rPr>
          <w:trHeight w:val="52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дотации бюджетам субъектов Российской Федерации и муниципальных образований.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D16EC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16EC1">
              <w:rPr>
                <w:rFonts w:ascii="Times New Roman" w:hAnsi="Times New Roman" w:cs="Times New Roman"/>
              </w:rPr>
              <w:t>68812,8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D16EC1">
            <w:pPr>
              <w:pStyle w:val="a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16EC1">
              <w:rPr>
                <w:rFonts w:ascii="Times New Roman" w:hAnsi="Times New Roman" w:cs="Times New Roman"/>
              </w:rPr>
              <w:t>68812,8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865168" w:rsidRDefault="005411E8" w:rsidP="003A058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субсидии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D16EC1" w:rsidP="00901E61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7812,8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D16EC1" w:rsidP="003638C9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7812,8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865168" w:rsidRDefault="00DC6CC4" w:rsidP="00EE4F7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C6CC4" w:rsidP="00EE4F7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субвенции бюджетам субъектов Российской Федерации и муниципальных образований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DC6CC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  <w:r w:rsidR="00DC6CC4">
              <w:rPr>
                <w:rFonts w:ascii="Times New Roman" w:hAnsi="Times New Roman" w:cs="Times New Roman"/>
              </w:rPr>
              <w:t>972,1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DC6CC4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  <w:r w:rsidR="00DC6CC4">
              <w:rPr>
                <w:rFonts w:ascii="Times New Roman" w:hAnsi="Times New Roman" w:cs="Times New Roman"/>
              </w:rPr>
              <w:t>972,1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86516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иные межбюджетные трансферты 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2E34DD" w:rsidRDefault="00DC6CC4" w:rsidP="00901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2E34DD" w:rsidRDefault="00DC6CC4" w:rsidP="003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1784,3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865168" w:rsidRDefault="005411E8" w:rsidP="00CA63B2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B122C3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122C3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C6CC4" w:rsidP="00901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844,0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C6CC4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1150,7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C6CC4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DC6CC4" w:rsidP="00EE4F70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5411E8" w:rsidTr="00C72125">
        <w:trPr>
          <w:trHeight w:val="315"/>
        </w:trPr>
        <w:tc>
          <w:tcPr>
            <w:tcW w:w="2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DF7FFD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F7FFD">
              <w:rPr>
                <w:rFonts w:ascii="Times New Roman" w:hAnsi="Times New Roman" w:cs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901E61">
            <w:pPr>
              <w:jc w:val="center"/>
              <w:rPr>
                <w:bCs/>
                <w:sz w:val="20"/>
                <w:szCs w:val="20"/>
              </w:rPr>
            </w:pPr>
          </w:p>
          <w:p w:rsidR="005411E8" w:rsidRDefault="005411E8" w:rsidP="00901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CA63B2">
            <w:pPr>
              <w:jc w:val="center"/>
              <w:rPr>
                <w:bCs/>
                <w:sz w:val="20"/>
                <w:szCs w:val="20"/>
              </w:rPr>
            </w:pPr>
          </w:p>
          <w:p w:rsidR="005411E8" w:rsidRDefault="005411E8" w:rsidP="00CA6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5411E8" w:rsidRDefault="005411E8" w:rsidP="00CA63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411E8" w:rsidRDefault="005411E8" w:rsidP="002E34DD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411E8" w:rsidRDefault="005411E8" w:rsidP="00226D45">
            <w:pPr>
              <w:pStyle w:val="a3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11E8" w:rsidTr="00C72125">
        <w:trPr>
          <w:trHeight w:val="325"/>
        </w:trPr>
        <w:tc>
          <w:tcPr>
            <w:tcW w:w="24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3A058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156062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СЕГО ДОХОДОВ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CC4" w:rsidRPr="00156062" w:rsidRDefault="005411E8" w:rsidP="00DC6CC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DC6CC4">
              <w:rPr>
                <w:rFonts w:ascii="Times New Roman" w:hAnsi="Times New Roman" w:cs="Times New Roman"/>
                <w:b/>
              </w:rPr>
              <w:t>55379,8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DC6CC4" w:rsidP="00ED66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762318,3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5411E8" w:rsidP="00ED66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C6CC4">
              <w:rPr>
                <w:rFonts w:ascii="Times New Roman" w:hAnsi="Times New Roman" w:cs="Times New Roman"/>
                <w:b/>
              </w:rPr>
              <w:t>938,5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1E8" w:rsidRPr="00156062" w:rsidRDefault="00DC6CC4" w:rsidP="00ED664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</w:tr>
    </w:tbl>
    <w:p w:rsidR="007C1D3C" w:rsidRDefault="007C1D3C" w:rsidP="007C1D3C">
      <w:pPr>
        <w:ind w:left="360"/>
        <w:jc w:val="both"/>
      </w:pPr>
    </w:p>
    <w:p w:rsidR="007C1D3C" w:rsidRDefault="007C1D3C" w:rsidP="00BA2A84">
      <w:pPr>
        <w:jc w:val="both"/>
      </w:pPr>
    </w:p>
    <w:p w:rsidR="00BA2A84" w:rsidRDefault="000A383D" w:rsidP="00BA2A84">
      <w:pPr>
        <w:pStyle w:val="a4"/>
      </w:pPr>
      <w:r>
        <w:t xml:space="preserve"> </w:t>
      </w:r>
      <w:r w:rsidR="00BA2A84">
        <w:t xml:space="preserve">     Объем налоговых и неналоговых доходов </w:t>
      </w:r>
      <w:r w:rsidR="00836E4E">
        <w:t xml:space="preserve"> </w:t>
      </w:r>
      <w:r w:rsidR="00AE4EF4">
        <w:t>в 201</w:t>
      </w:r>
      <w:r w:rsidR="00836E4E">
        <w:t>8</w:t>
      </w:r>
      <w:r w:rsidR="00AE4EF4">
        <w:t xml:space="preserve"> году </w:t>
      </w:r>
      <w:r w:rsidR="00836E4E">
        <w:t>увеличен на 6631,8 тыс</w:t>
      </w:r>
      <w:proofErr w:type="gramStart"/>
      <w:r w:rsidR="00836E4E">
        <w:t>.р</w:t>
      </w:r>
      <w:proofErr w:type="gramEnd"/>
      <w:r w:rsidR="00836E4E">
        <w:t>уб. или на 1,9%.</w:t>
      </w:r>
    </w:p>
    <w:p w:rsidR="00BA2A84" w:rsidRDefault="00BA2A84" w:rsidP="00C66B35">
      <w:pPr>
        <w:pStyle w:val="a4"/>
      </w:pPr>
      <w:r>
        <w:t xml:space="preserve">      </w:t>
      </w:r>
      <w:r w:rsidR="002B4C30">
        <w:t>О</w:t>
      </w:r>
      <w:r>
        <w:t>бъем</w:t>
      </w:r>
      <w:r w:rsidR="002B4C30">
        <w:t xml:space="preserve"> безвозмездных поступлений в </w:t>
      </w:r>
      <w:r w:rsidR="000A383D">
        <w:t>201</w:t>
      </w:r>
      <w:r w:rsidR="00836E4E">
        <w:t>8</w:t>
      </w:r>
      <w:r w:rsidR="000A383D">
        <w:t xml:space="preserve"> году  </w:t>
      </w:r>
      <w:r w:rsidR="005411E8">
        <w:t>увеличен</w:t>
      </w:r>
      <w:r w:rsidR="002B4C30">
        <w:t xml:space="preserve"> на сумму </w:t>
      </w:r>
      <w:r w:rsidR="00836E4E">
        <w:t>306,7</w:t>
      </w:r>
      <w:r w:rsidR="002B4C30">
        <w:t xml:space="preserve"> тыс</w:t>
      </w:r>
      <w:proofErr w:type="gramStart"/>
      <w:r w:rsidR="002B4C30">
        <w:t>.р</w:t>
      </w:r>
      <w:proofErr w:type="gramEnd"/>
      <w:r w:rsidR="002B4C30">
        <w:t>уб.</w:t>
      </w:r>
      <w:r w:rsidR="006F2D5C">
        <w:t xml:space="preserve">или на </w:t>
      </w:r>
      <w:r w:rsidR="00836E4E">
        <w:t>0,1</w:t>
      </w:r>
      <w:r w:rsidR="006F2D5C">
        <w:t xml:space="preserve">%. </w:t>
      </w:r>
      <w:r w:rsidR="007C1D3C">
        <w:t xml:space="preserve">Указанное </w:t>
      </w:r>
      <w:r w:rsidR="005411E8">
        <w:t>увеличение</w:t>
      </w:r>
      <w:r w:rsidR="00306544">
        <w:t xml:space="preserve"> получено </w:t>
      </w:r>
      <w:r w:rsidR="007C1D3C">
        <w:t>за счет</w:t>
      </w:r>
      <w:r w:rsidR="00306544">
        <w:t xml:space="preserve"> </w:t>
      </w:r>
      <w:r w:rsidR="00836E4E">
        <w:t>прогноза поступления прочих безвозмездных поступлений на реализацию программы «Народный бюджет»</w:t>
      </w:r>
      <w:r w:rsidR="000A2FC5">
        <w:t>.</w:t>
      </w:r>
      <w:r w:rsidR="009C540A">
        <w:t xml:space="preserve"> </w:t>
      </w:r>
    </w:p>
    <w:p w:rsidR="009C540A" w:rsidRDefault="00046438" w:rsidP="00EA55D2">
      <w:pPr>
        <w:pStyle w:val="a4"/>
        <w:rPr>
          <w:rFonts w:eastAsia="MS Mincho"/>
        </w:rPr>
      </w:pPr>
      <w:r>
        <w:t xml:space="preserve">       </w:t>
      </w:r>
      <w:r w:rsidR="009C540A">
        <w:rPr>
          <w:rFonts w:eastAsia="MS Mincho"/>
        </w:rPr>
        <w:t xml:space="preserve"> Доходы бюджета района на плановый период 201</w:t>
      </w:r>
      <w:r w:rsidR="009E2874">
        <w:rPr>
          <w:rFonts w:eastAsia="MS Mincho"/>
        </w:rPr>
        <w:t>8</w:t>
      </w:r>
      <w:r w:rsidR="009C540A">
        <w:rPr>
          <w:rFonts w:eastAsia="MS Mincho"/>
        </w:rPr>
        <w:t xml:space="preserve"> и 201</w:t>
      </w:r>
      <w:r w:rsidR="009E2874">
        <w:rPr>
          <w:rFonts w:eastAsia="MS Mincho"/>
        </w:rPr>
        <w:t>9</w:t>
      </w:r>
      <w:r w:rsidR="009C540A">
        <w:rPr>
          <w:rFonts w:eastAsia="MS Mincho"/>
        </w:rPr>
        <w:t xml:space="preserve"> годов </w:t>
      </w:r>
      <w:r w:rsidR="005F48C1">
        <w:rPr>
          <w:rFonts w:eastAsia="MS Mincho"/>
        </w:rPr>
        <w:t xml:space="preserve"> </w:t>
      </w:r>
      <w:r w:rsidR="00306544">
        <w:rPr>
          <w:rFonts w:eastAsia="MS Mincho"/>
        </w:rPr>
        <w:t>остались неизменными</w:t>
      </w:r>
    </w:p>
    <w:p w:rsidR="006171E0" w:rsidRDefault="006171E0" w:rsidP="00EA55D2">
      <w:pPr>
        <w:pStyle w:val="a4"/>
        <w:rPr>
          <w:rFonts w:eastAsia="MS Mincho"/>
        </w:rPr>
      </w:pPr>
    </w:p>
    <w:p w:rsidR="00BA2A84" w:rsidRDefault="00BA2A84" w:rsidP="00BA2A84">
      <w:pPr>
        <w:pStyle w:val="a4"/>
        <w:jc w:val="center"/>
        <w:rPr>
          <w:b/>
        </w:rPr>
      </w:pPr>
    </w:p>
    <w:p w:rsidR="00B87C62" w:rsidRDefault="00AC6878" w:rsidP="00AC6878">
      <w:pPr>
        <w:pStyle w:val="a4"/>
        <w:jc w:val="center"/>
        <w:rPr>
          <w:b/>
        </w:rPr>
      </w:pPr>
      <w:r w:rsidRPr="00AC6878">
        <w:rPr>
          <w:b/>
        </w:rPr>
        <w:t>Расходы бюджета</w:t>
      </w:r>
    </w:p>
    <w:p w:rsidR="00F86D6D" w:rsidRDefault="00F86D6D" w:rsidP="00AC6878">
      <w:pPr>
        <w:pStyle w:val="a4"/>
        <w:jc w:val="center"/>
        <w:rPr>
          <w:b/>
        </w:rPr>
      </w:pPr>
    </w:p>
    <w:p w:rsidR="00AC6878" w:rsidRDefault="00FD02E6" w:rsidP="00933C9A">
      <w:pPr>
        <w:pStyle w:val="a4"/>
      </w:pPr>
      <w:r>
        <w:t xml:space="preserve">      Предлагаемые изменения расходной части бюджет</w:t>
      </w:r>
      <w:r w:rsidR="000A7AAE">
        <w:t>а</w:t>
      </w:r>
      <w:r>
        <w:t xml:space="preserve"> муниципального образования Кимовский район представлены в таблице 2.</w:t>
      </w:r>
    </w:p>
    <w:p w:rsidR="00FD02E6" w:rsidRDefault="00FD02E6" w:rsidP="00933C9A">
      <w:pPr>
        <w:pStyle w:val="a4"/>
      </w:pPr>
      <w:r>
        <w:t xml:space="preserve">      Суммарный объем расходов, планируемых к осущест</w:t>
      </w:r>
      <w:r w:rsidR="000A383D">
        <w:t>влению в 201</w:t>
      </w:r>
      <w:r w:rsidR="006867CC">
        <w:t>8</w:t>
      </w:r>
      <w:r w:rsidR="000A383D">
        <w:t xml:space="preserve"> году, увеличен с </w:t>
      </w:r>
      <w:r w:rsidR="006867CC">
        <w:t>580981,5</w:t>
      </w:r>
      <w:r w:rsidR="000A383D">
        <w:t xml:space="preserve"> т</w:t>
      </w:r>
      <w:r>
        <w:t xml:space="preserve">ыс. рублей до </w:t>
      </w:r>
      <w:r w:rsidR="006867CC">
        <w:t>588814,5</w:t>
      </w:r>
      <w:r w:rsidR="002848E3">
        <w:t xml:space="preserve"> тыс</w:t>
      </w:r>
      <w:proofErr w:type="gramStart"/>
      <w:r w:rsidR="002848E3">
        <w:t>.р</w:t>
      </w:r>
      <w:proofErr w:type="gramEnd"/>
      <w:r w:rsidR="002848E3">
        <w:t>уб.</w:t>
      </w:r>
      <w:r w:rsidR="00F429F0">
        <w:t>,</w:t>
      </w:r>
      <w:r>
        <w:t xml:space="preserve">  т.е</w:t>
      </w:r>
      <w:r w:rsidR="00736917">
        <w:t>.</w:t>
      </w:r>
      <w:r>
        <w:t xml:space="preserve"> на</w:t>
      </w:r>
      <w:r w:rsidR="00FC7D98">
        <w:t xml:space="preserve"> </w:t>
      </w:r>
      <w:r w:rsidR="006867CC">
        <w:t>7833,0</w:t>
      </w:r>
      <w:r w:rsidR="00F429F0">
        <w:t xml:space="preserve"> </w:t>
      </w:r>
      <w:r>
        <w:t xml:space="preserve">тыс.рублей или на </w:t>
      </w:r>
      <w:r w:rsidR="006867CC">
        <w:t>1,3</w:t>
      </w:r>
      <w:r>
        <w:t xml:space="preserve"> % к объемам, утвержденным решением Собрания представителей муниципального образования Кимовский район от </w:t>
      </w:r>
      <w:r w:rsidR="009E2874">
        <w:t>14.12.201</w:t>
      </w:r>
      <w:r w:rsidR="006867CC">
        <w:t>7</w:t>
      </w:r>
      <w:r>
        <w:t xml:space="preserve"> № </w:t>
      </w:r>
      <w:r w:rsidR="009E2874">
        <w:t>9</w:t>
      </w:r>
      <w:r w:rsidR="006867CC">
        <w:t>1</w:t>
      </w:r>
      <w:r w:rsidR="009E2874">
        <w:t>-</w:t>
      </w:r>
      <w:r w:rsidR="006867CC">
        <w:t>459</w:t>
      </w:r>
      <w:r w:rsidR="00F429F0">
        <w:t xml:space="preserve"> </w:t>
      </w:r>
      <w:r w:rsidR="0068310E">
        <w:t>«</w:t>
      </w:r>
      <w:r w:rsidR="00B44D3E">
        <w:t xml:space="preserve">О </w:t>
      </w:r>
      <w:r>
        <w:t>бюджете муниципального образования Кимовский район на 201</w:t>
      </w:r>
      <w:r w:rsidR="006867CC">
        <w:t>8</w:t>
      </w:r>
      <w:r>
        <w:t xml:space="preserve"> год и на плановый период 201</w:t>
      </w:r>
      <w:r w:rsidR="006867CC">
        <w:t>9</w:t>
      </w:r>
      <w:r>
        <w:t xml:space="preserve"> и 20</w:t>
      </w:r>
      <w:r w:rsidR="006867CC">
        <w:t>20</w:t>
      </w:r>
      <w:r>
        <w:t xml:space="preserve"> годов»</w:t>
      </w:r>
      <w:r w:rsidR="00F429F0">
        <w:t>.</w:t>
      </w:r>
      <w:r>
        <w:t xml:space="preserve"> </w:t>
      </w:r>
    </w:p>
    <w:p w:rsidR="00AC6878" w:rsidRDefault="00250EDD" w:rsidP="00AC6878">
      <w:pPr>
        <w:pStyle w:val="a4"/>
        <w:jc w:val="left"/>
      </w:pPr>
      <w:r>
        <w:t xml:space="preserve">   </w:t>
      </w:r>
      <w:r w:rsidR="00746222">
        <w:t xml:space="preserve">   В плановом периоде 201</w:t>
      </w:r>
      <w:r w:rsidR="006867CC">
        <w:t>9</w:t>
      </w:r>
      <w:r w:rsidR="00746222">
        <w:t xml:space="preserve"> и 20</w:t>
      </w:r>
      <w:r w:rsidR="006867CC">
        <w:t>20</w:t>
      </w:r>
      <w:r w:rsidR="00746222">
        <w:t xml:space="preserve"> годов расходы </w:t>
      </w:r>
      <w:r w:rsidR="00372D51">
        <w:t>остались неизменными</w:t>
      </w:r>
      <w:r w:rsidR="00746222">
        <w:t xml:space="preserve">. </w:t>
      </w:r>
    </w:p>
    <w:p w:rsidR="005C484D" w:rsidRDefault="005C484D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5C484D" w:rsidRDefault="005C484D" w:rsidP="00AC6878">
      <w:pPr>
        <w:pStyle w:val="a4"/>
        <w:jc w:val="left"/>
      </w:pPr>
      <w:r>
        <w:t xml:space="preserve">                      Таблица 2 – Предлагаемые изменения расходной части бюджета</w:t>
      </w:r>
    </w:p>
    <w:p w:rsidR="005C484D" w:rsidRDefault="005C484D" w:rsidP="00AC6878">
      <w:pPr>
        <w:pStyle w:val="a4"/>
        <w:jc w:val="left"/>
      </w:pPr>
      <w:r>
        <w:t xml:space="preserve">                                муниципального образования Кимовский район, тыс</w:t>
      </w:r>
      <w:proofErr w:type="gramStart"/>
      <w:r>
        <w:t>.р</w:t>
      </w:r>
      <w:proofErr w:type="gramEnd"/>
      <w:r>
        <w:t>уб.</w:t>
      </w:r>
    </w:p>
    <w:p w:rsidR="006171E0" w:rsidRDefault="006171E0" w:rsidP="00AC6878">
      <w:pPr>
        <w:pStyle w:val="a4"/>
        <w:jc w:val="left"/>
      </w:pPr>
    </w:p>
    <w:p w:rsidR="005C484D" w:rsidRDefault="005C484D" w:rsidP="00AC6878">
      <w:pPr>
        <w:pStyle w:val="a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3"/>
        <w:gridCol w:w="1772"/>
        <w:gridCol w:w="1541"/>
        <w:gridCol w:w="1493"/>
        <w:gridCol w:w="1132"/>
      </w:tblGrid>
      <w:tr w:rsidR="005C484D" w:rsidRPr="00E83550" w:rsidTr="007D250F">
        <w:tc>
          <w:tcPr>
            <w:tcW w:w="3633" w:type="dxa"/>
            <w:vMerge w:val="restart"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8" w:type="dxa"/>
            <w:gridSpan w:val="4"/>
          </w:tcPr>
          <w:p w:rsidR="005C484D" w:rsidRDefault="005C484D" w:rsidP="009E28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5C484D" w:rsidRPr="00E83550" w:rsidTr="007D250F">
        <w:trPr>
          <w:trHeight w:val="31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</w:tcPr>
          <w:p w:rsidR="005C484D" w:rsidRPr="00E83550" w:rsidRDefault="005C484D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5C34D8">
              <w:rPr>
                <w:rFonts w:ascii="Times New Roman" w:hAnsi="Times New Roman" w:cs="Times New Roman"/>
                <w:sz w:val="24"/>
                <w:szCs w:val="24"/>
              </w:rPr>
              <w:t>вержденный бюджет</w:t>
            </w:r>
          </w:p>
        </w:tc>
        <w:tc>
          <w:tcPr>
            <w:tcW w:w="1541" w:type="dxa"/>
            <w:vMerge w:val="restart"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внесении изменений в решение о бюджете</w:t>
            </w:r>
          </w:p>
        </w:tc>
        <w:tc>
          <w:tcPr>
            <w:tcW w:w="2625" w:type="dxa"/>
            <w:gridSpan w:val="2"/>
          </w:tcPr>
          <w:p w:rsidR="005C484D" w:rsidRPr="00E83550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Отклонение</w:t>
            </w:r>
          </w:p>
        </w:tc>
      </w:tr>
      <w:tr w:rsidR="005C484D" w:rsidRPr="00E83550" w:rsidTr="007D250F">
        <w:trPr>
          <w:trHeight w:val="1335"/>
        </w:trPr>
        <w:tc>
          <w:tcPr>
            <w:tcW w:w="3633" w:type="dxa"/>
            <w:vMerge/>
          </w:tcPr>
          <w:p w:rsidR="005C484D" w:rsidRPr="00E83550" w:rsidRDefault="005C484D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5C484D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C484D" w:rsidRPr="00E83550" w:rsidRDefault="005C484D" w:rsidP="005C48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5C484D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C484D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(+, -)</w:t>
            </w:r>
          </w:p>
        </w:tc>
        <w:tc>
          <w:tcPr>
            <w:tcW w:w="1132" w:type="dxa"/>
          </w:tcPr>
          <w:p w:rsidR="005C484D" w:rsidRDefault="005C484D" w:rsidP="005C48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84D" w:rsidRDefault="005C484D" w:rsidP="005C484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72" w:type="dxa"/>
          </w:tcPr>
          <w:p w:rsidR="00372D51" w:rsidRPr="008A2651" w:rsidRDefault="008B3886" w:rsidP="009E2874">
            <w:pPr>
              <w:jc w:val="center"/>
            </w:pPr>
            <w:r>
              <w:t>59405,0</w:t>
            </w:r>
          </w:p>
        </w:tc>
        <w:tc>
          <w:tcPr>
            <w:tcW w:w="1541" w:type="dxa"/>
          </w:tcPr>
          <w:p w:rsidR="00372D51" w:rsidRPr="008A2651" w:rsidRDefault="008B3886" w:rsidP="000C67B6">
            <w:pPr>
              <w:jc w:val="center"/>
            </w:pPr>
            <w:r>
              <w:t>58046,7</w:t>
            </w:r>
          </w:p>
        </w:tc>
        <w:tc>
          <w:tcPr>
            <w:tcW w:w="1493" w:type="dxa"/>
          </w:tcPr>
          <w:p w:rsidR="00372D51" w:rsidRPr="00E83550" w:rsidRDefault="008B3886" w:rsidP="000C6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-1358,3</w:t>
            </w:r>
          </w:p>
        </w:tc>
        <w:tc>
          <w:tcPr>
            <w:tcW w:w="1132" w:type="dxa"/>
          </w:tcPr>
          <w:p w:rsidR="00372D51" w:rsidRPr="00E83550" w:rsidRDefault="008B3886" w:rsidP="000C67B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772" w:type="dxa"/>
          </w:tcPr>
          <w:p w:rsidR="00372D51" w:rsidRPr="008A2651" w:rsidRDefault="009E2874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541" w:type="dxa"/>
          </w:tcPr>
          <w:p w:rsidR="00372D51" w:rsidRPr="008A2651" w:rsidRDefault="009E2874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493" w:type="dxa"/>
          </w:tcPr>
          <w:p w:rsidR="00372D51" w:rsidRPr="00E83550" w:rsidRDefault="009E2874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72D51" w:rsidRPr="00E83550" w:rsidRDefault="009E2874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772" w:type="dxa"/>
          </w:tcPr>
          <w:p w:rsidR="009E2874" w:rsidRDefault="009E2874" w:rsidP="00B27F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51" w:rsidRPr="008A2651" w:rsidRDefault="008B3886" w:rsidP="00B27F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9680,0</w:t>
            </w:r>
          </w:p>
        </w:tc>
        <w:tc>
          <w:tcPr>
            <w:tcW w:w="1541" w:type="dxa"/>
          </w:tcPr>
          <w:p w:rsidR="009E2874" w:rsidRDefault="009E2874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51" w:rsidRPr="008A2651" w:rsidRDefault="008B3886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10214,9</w:t>
            </w:r>
          </w:p>
        </w:tc>
        <w:tc>
          <w:tcPr>
            <w:tcW w:w="1493" w:type="dxa"/>
          </w:tcPr>
          <w:p w:rsidR="009E2874" w:rsidRDefault="009E2874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51" w:rsidRPr="00E83550" w:rsidRDefault="009E2874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534,9</w:t>
            </w:r>
          </w:p>
        </w:tc>
        <w:tc>
          <w:tcPr>
            <w:tcW w:w="1132" w:type="dxa"/>
          </w:tcPr>
          <w:p w:rsidR="009E2874" w:rsidRDefault="009E2874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D51" w:rsidRPr="00E83550" w:rsidRDefault="009E2874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</w:tcPr>
          <w:p w:rsidR="00372D51" w:rsidRPr="008A2651" w:rsidRDefault="009E2874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1039,2</w:t>
            </w:r>
          </w:p>
        </w:tc>
        <w:tc>
          <w:tcPr>
            <w:tcW w:w="1541" w:type="dxa"/>
          </w:tcPr>
          <w:p w:rsidR="00372D51" w:rsidRPr="008A2651" w:rsidRDefault="008B3886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72455,1</w:t>
            </w:r>
          </w:p>
        </w:tc>
        <w:tc>
          <w:tcPr>
            <w:tcW w:w="1493" w:type="dxa"/>
          </w:tcPr>
          <w:p w:rsidR="00372D51" w:rsidRPr="00E83550" w:rsidRDefault="008B3886" w:rsidP="00372D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+1415,9</w:t>
            </w:r>
          </w:p>
        </w:tc>
        <w:tc>
          <w:tcPr>
            <w:tcW w:w="1132" w:type="dxa"/>
          </w:tcPr>
          <w:p w:rsidR="00372D51" w:rsidRPr="00E83550" w:rsidRDefault="008B3886" w:rsidP="00372D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+2,2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72" w:type="dxa"/>
          </w:tcPr>
          <w:p w:rsidR="00372D51" w:rsidRPr="008A2651" w:rsidRDefault="00372D51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40179,2</w:t>
            </w:r>
          </w:p>
        </w:tc>
        <w:tc>
          <w:tcPr>
            <w:tcW w:w="1541" w:type="dxa"/>
          </w:tcPr>
          <w:p w:rsidR="00372D51" w:rsidRPr="008A2651" w:rsidRDefault="008B3886" w:rsidP="001C64C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43162,5</w:t>
            </w:r>
          </w:p>
        </w:tc>
        <w:tc>
          <w:tcPr>
            <w:tcW w:w="1493" w:type="dxa"/>
          </w:tcPr>
          <w:p w:rsidR="00372D51" w:rsidRPr="00E83550" w:rsidRDefault="00372D51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C6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983,3</w:t>
            </w:r>
          </w:p>
        </w:tc>
        <w:tc>
          <w:tcPr>
            <w:tcW w:w="1132" w:type="dxa"/>
          </w:tcPr>
          <w:p w:rsidR="00372D51" w:rsidRPr="00E83550" w:rsidRDefault="009E2874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</w:tcPr>
          <w:p w:rsidR="00372D51" w:rsidRPr="008A2651" w:rsidRDefault="008B3886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512667,3</w:t>
            </w:r>
          </w:p>
        </w:tc>
        <w:tc>
          <w:tcPr>
            <w:tcW w:w="1541" w:type="dxa"/>
          </w:tcPr>
          <w:p w:rsidR="00372D51" w:rsidRPr="008A2651" w:rsidRDefault="008B3886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520312,1</w:t>
            </w:r>
          </w:p>
        </w:tc>
        <w:tc>
          <w:tcPr>
            <w:tcW w:w="1493" w:type="dxa"/>
          </w:tcPr>
          <w:p w:rsidR="00372D51" w:rsidRPr="00E83550" w:rsidRDefault="009E2874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7644,8</w:t>
            </w:r>
          </w:p>
        </w:tc>
        <w:tc>
          <w:tcPr>
            <w:tcW w:w="1132" w:type="dxa"/>
          </w:tcPr>
          <w:p w:rsidR="00372D51" w:rsidRPr="00E83550" w:rsidRDefault="009E2874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72" w:type="dxa"/>
          </w:tcPr>
          <w:p w:rsidR="00372D51" w:rsidRPr="008A2651" w:rsidRDefault="008B3886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49920,8</w:t>
            </w:r>
          </w:p>
        </w:tc>
        <w:tc>
          <w:tcPr>
            <w:tcW w:w="1541" w:type="dxa"/>
          </w:tcPr>
          <w:p w:rsidR="00372D51" w:rsidRPr="008A2651" w:rsidRDefault="008B3886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50118,4</w:t>
            </w:r>
          </w:p>
        </w:tc>
        <w:tc>
          <w:tcPr>
            <w:tcW w:w="1493" w:type="dxa"/>
          </w:tcPr>
          <w:p w:rsidR="00372D51" w:rsidRPr="00E83550" w:rsidRDefault="00372D51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1132" w:type="dxa"/>
          </w:tcPr>
          <w:p w:rsidR="00372D51" w:rsidRPr="00E83550" w:rsidRDefault="00372D51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</w:tcPr>
          <w:p w:rsidR="00372D51" w:rsidRPr="008A2651" w:rsidRDefault="00372D51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4901,4</w:t>
            </w:r>
          </w:p>
        </w:tc>
        <w:tc>
          <w:tcPr>
            <w:tcW w:w="1541" w:type="dxa"/>
          </w:tcPr>
          <w:p w:rsidR="00372D51" w:rsidRPr="008A2651" w:rsidRDefault="00372D51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4901,4</w:t>
            </w:r>
          </w:p>
        </w:tc>
        <w:tc>
          <w:tcPr>
            <w:tcW w:w="1493" w:type="dxa"/>
          </w:tcPr>
          <w:p w:rsidR="00372D51" w:rsidRPr="00E83550" w:rsidRDefault="009E2874" w:rsidP="009B1A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72D51" w:rsidRPr="00E83550" w:rsidRDefault="009E2874" w:rsidP="009B1AE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372D51" w:rsidRPr="008A2651" w:rsidRDefault="00372D51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541" w:type="dxa"/>
          </w:tcPr>
          <w:p w:rsidR="00372D51" w:rsidRPr="008A2651" w:rsidRDefault="009E2874" w:rsidP="008B388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886">
              <w:rPr>
                <w:rFonts w:ascii="Times New Roman" w:hAnsi="Times New Roman" w:cs="Times New Roman"/>
                <w:sz w:val="24"/>
                <w:szCs w:val="24"/>
              </w:rPr>
              <w:t>482,6</w:t>
            </w:r>
          </w:p>
        </w:tc>
        <w:tc>
          <w:tcPr>
            <w:tcW w:w="1493" w:type="dxa"/>
          </w:tcPr>
          <w:p w:rsidR="00372D51" w:rsidRPr="00E83550" w:rsidRDefault="008B3886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-9,4</w:t>
            </w:r>
          </w:p>
        </w:tc>
        <w:tc>
          <w:tcPr>
            <w:tcW w:w="1132" w:type="dxa"/>
          </w:tcPr>
          <w:p w:rsidR="00372D51" w:rsidRPr="00E83550" w:rsidRDefault="008B3886" w:rsidP="009E287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-0,3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72" w:type="dxa"/>
          </w:tcPr>
          <w:p w:rsidR="00372D51" w:rsidRDefault="00372D51" w:rsidP="00B27F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6F9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  <w:p w:rsidR="00372D51" w:rsidRPr="008A2651" w:rsidRDefault="00372D51" w:rsidP="00B27F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72D51" w:rsidRDefault="00372D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6F9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  <w:p w:rsidR="00372D51" w:rsidRPr="008A2651" w:rsidRDefault="00372D5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372D51" w:rsidRPr="00E83550" w:rsidRDefault="009E2874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372D51" w:rsidRPr="00E83550" w:rsidRDefault="009E2874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72" w:type="dxa"/>
          </w:tcPr>
          <w:p w:rsidR="00372D51" w:rsidRPr="008A2651" w:rsidRDefault="00372D51" w:rsidP="00C256F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8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56F9">
              <w:rPr>
                <w:rFonts w:ascii="Times New Roman" w:hAnsi="Times New Roman" w:cs="Times New Roman"/>
                <w:sz w:val="24"/>
                <w:szCs w:val="24"/>
              </w:rPr>
              <w:t>614,3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372D51" w:rsidRPr="008A2651" w:rsidRDefault="00C256F9" w:rsidP="007D250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20237,0</w:t>
            </w:r>
            <w:r w:rsidR="0037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</w:tcPr>
          <w:p w:rsidR="00372D51" w:rsidRPr="00E83550" w:rsidRDefault="00AD7D6A" w:rsidP="00703101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28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3101">
              <w:rPr>
                <w:rFonts w:ascii="Times New Roman" w:hAnsi="Times New Roman" w:cs="Times New Roman"/>
                <w:sz w:val="24"/>
                <w:szCs w:val="24"/>
              </w:rPr>
              <w:t>+622,7</w:t>
            </w:r>
          </w:p>
        </w:tc>
        <w:tc>
          <w:tcPr>
            <w:tcW w:w="1132" w:type="dxa"/>
          </w:tcPr>
          <w:p w:rsidR="00372D51" w:rsidRPr="00E83550" w:rsidRDefault="00703101" w:rsidP="005C34D8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+3,2</w:t>
            </w:r>
          </w:p>
        </w:tc>
      </w:tr>
      <w:tr w:rsidR="00372D51" w:rsidRPr="00E83550" w:rsidTr="007D250F">
        <w:tc>
          <w:tcPr>
            <w:tcW w:w="3633" w:type="dxa"/>
          </w:tcPr>
          <w:p w:rsidR="00372D51" w:rsidRPr="00E83550" w:rsidRDefault="00372D51" w:rsidP="009515ED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50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</w:tcPr>
          <w:p w:rsidR="00372D51" w:rsidRPr="00E83550" w:rsidRDefault="00703101" w:rsidP="00B27F4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580981,5</w:t>
            </w:r>
          </w:p>
        </w:tc>
        <w:tc>
          <w:tcPr>
            <w:tcW w:w="1541" w:type="dxa"/>
          </w:tcPr>
          <w:p w:rsidR="00372D51" w:rsidRPr="00E83550" w:rsidRDefault="00703101" w:rsidP="00372D5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588814,5</w:t>
            </w:r>
          </w:p>
        </w:tc>
        <w:tc>
          <w:tcPr>
            <w:tcW w:w="1493" w:type="dxa"/>
          </w:tcPr>
          <w:p w:rsidR="00372D51" w:rsidRPr="00E83550" w:rsidRDefault="00372D51" w:rsidP="007031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03101">
              <w:rPr>
                <w:rFonts w:ascii="Times New Roman" w:hAnsi="Times New Roman" w:cs="Times New Roman"/>
                <w:b/>
                <w:sz w:val="24"/>
                <w:szCs w:val="24"/>
              </w:rPr>
              <w:t>7833,0</w:t>
            </w:r>
          </w:p>
        </w:tc>
        <w:tc>
          <w:tcPr>
            <w:tcW w:w="1132" w:type="dxa"/>
          </w:tcPr>
          <w:p w:rsidR="00372D51" w:rsidRPr="00E83550" w:rsidRDefault="00372D51" w:rsidP="00703101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03101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</w:tbl>
    <w:p w:rsidR="00C02B98" w:rsidRDefault="00C02B98" w:rsidP="00AC6878">
      <w:pPr>
        <w:pStyle w:val="a4"/>
        <w:jc w:val="left"/>
      </w:pPr>
    </w:p>
    <w:p w:rsidR="006171E0" w:rsidRDefault="006171E0" w:rsidP="00AC6878">
      <w:pPr>
        <w:pStyle w:val="a4"/>
        <w:jc w:val="left"/>
      </w:pPr>
    </w:p>
    <w:p w:rsidR="007A6131" w:rsidRDefault="00355350" w:rsidP="007A6131">
      <w:pPr>
        <w:pStyle w:val="a4"/>
      </w:pPr>
      <w:r>
        <w:rPr>
          <w:b/>
          <w:i/>
        </w:rPr>
        <w:t xml:space="preserve">      </w:t>
      </w:r>
      <w:r w:rsidR="00F06337">
        <w:t xml:space="preserve">Наибольшее влияние на данный прирост оказало увеличение бюджетных ассигнований по </w:t>
      </w:r>
      <w:r w:rsidR="00756C9E">
        <w:t xml:space="preserve">разделам: «Жилищно-коммунальное хозяйство» - </w:t>
      </w:r>
      <w:r w:rsidR="00703101">
        <w:t>7,4</w:t>
      </w:r>
      <w:r w:rsidR="00756C9E">
        <w:t xml:space="preserve">% увеличения объема бюджетных расходов, </w:t>
      </w:r>
      <w:r w:rsidR="00FD5358">
        <w:t xml:space="preserve">«Образование» - </w:t>
      </w:r>
      <w:r w:rsidR="00703101">
        <w:t>1,5</w:t>
      </w:r>
      <w:r w:rsidR="00FD5358">
        <w:t xml:space="preserve">% </w:t>
      </w:r>
      <w:r w:rsidR="001449D3">
        <w:t>«</w:t>
      </w:r>
      <w:r w:rsidR="00AD7D6A">
        <w:t xml:space="preserve">Национальная </w:t>
      </w:r>
      <w:r w:rsidR="00FD5358">
        <w:t xml:space="preserve">безопасность и правоохранительная деятельность» - </w:t>
      </w:r>
      <w:r w:rsidR="00703101">
        <w:t>5,5</w:t>
      </w:r>
      <w:r w:rsidR="00FD5358">
        <w:t>%,</w:t>
      </w:r>
      <w:r w:rsidR="009F46B9">
        <w:t xml:space="preserve"> </w:t>
      </w:r>
      <w:r w:rsidR="00703101">
        <w:t xml:space="preserve">«Национальная экономика» - 2,2%,  </w:t>
      </w:r>
      <w:r w:rsidR="00FD5358">
        <w:t xml:space="preserve">«Культура и кинематография» - </w:t>
      </w:r>
      <w:r w:rsidR="00703101">
        <w:t>0,4</w:t>
      </w:r>
      <w:r w:rsidR="00FD5358">
        <w:t xml:space="preserve">%, </w:t>
      </w:r>
      <w:r w:rsidR="00703101">
        <w:t xml:space="preserve">«Межбюджетные трансферты» </w:t>
      </w:r>
      <w:r w:rsidR="009F46B9">
        <w:t xml:space="preserve"> - </w:t>
      </w:r>
      <w:r w:rsidR="00703101">
        <w:t>3,2</w:t>
      </w:r>
      <w:r w:rsidR="009F46B9">
        <w:t>%</w:t>
      </w:r>
      <w:r w:rsidR="00FD5358">
        <w:t>.</w:t>
      </w:r>
    </w:p>
    <w:p w:rsidR="00761AED" w:rsidRDefault="00F06337" w:rsidP="00761AED">
      <w:pPr>
        <w:pStyle w:val="a4"/>
      </w:pPr>
      <w:r>
        <w:t xml:space="preserve">   </w:t>
      </w:r>
      <w:r w:rsidR="0092684B">
        <w:t xml:space="preserve">     </w:t>
      </w:r>
      <w:r>
        <w:t xml:space="preserve"> </w:t>
      </w:r>
    </w:p>
    <w:p w:rsidR="009E5BFB" w:rsidRDefault="00CE4FBA" w:rsidP="00AB3C77">
      <w:pPr>
        <w:pStyle w:val="a4"/>
      </w:pPr>
      <w:r>
        <w:t xml:space="preserve">      </w:t>
      </w:r>
      <w:r w:rsidR="0092684B">
        <w:t xml:space="preserve">     </w:t>
      </w:r>
      <w:r>
        <w:t>На увеличение объема расходов бюджета района повлияло</w:t>
      </w:r>
      <w:r w:rsidR="009E5BFB">
        <w:t>:</w:t>
      </w:r>
      <w:r w:rsidR="00FD5358">
        <w:t xml:space="preserve"> </w:t>
      </w:r>
    </w:p>
    <w:p w:rsidR="00703101" w:rsidRDefault="00703101" w:rsidP="00AB3C77">
      <w:pPr>
        <w:pStyle w:val="a4"/>
      </w:pPr>
      <w:r>
        <w:t xml:space="preserve">           </w:t>
      </w:r>
      <w:proofErr w:type="gramStart"/>
      <w:r>
        <w:t xml:space="preserve">1) прогноз дополнительного поступления налоговых и неналоговых доходов в бюджета района с  </w:t>
      </w:r>
      <w:proofErr w:type="spellStart"/>
      <w:r>
        <w:t>увеличеним</w:t>
      </w:r>
      <w:proofErr w:type="spellEnd"/>
      <w:r>
        <w:t xml:space="preserve"> расходов без обеспечения доходных источников повлекших формированию дефицита бюджета в размере 8,9% от налоговых и неналоговых доходов без учета остатков на счетах по учету бюджетных средств на 01.01.2018 г.</w:t>
      </w:r>
      <w:proofErr w:type="gramEnd"/>
    </w:p>
    <w:p w:rsidR="00805A2C" w:rsidRDefault="00FD5358" w:rsidP="00FD5358">
      <w:pPr>
        <w:pStyle w:val="a4"/>
      </w:pPr>
      <w:r>
        <w:t xml:space="preserve">           </w:t>
      </w:r>
      <w:r w:rsidR="00703101">
        <w:t>2</w:t>
      </w:r>
      <w:r>
        <w:t xml:space="preserve">) </w:t>
      </w:r>
      <w:r w:rsidR="00A00B77">
        <w:t xml:space="preserve">изменение плана </w:t>
      </w:r>
      <w:r w:rsidR="00703101">
        <w:t xml:space="preserve">прочих </w:t>
      </w:r>
      <w:r>
        <w:t xml:space="preserve">безвозмездных поступлений </w:t>
      </w:r>
      <w:r w:rsidR="00805A2C">
        <w:t xml:space="preserve"> на сумму </w:t>
      </w:r>
      <w:r w:rsidR="00703101">
        <w:t>306,7</w:t>
      </w:r>
      <w:r w:rsidR="00805A2C">
        <w:t xml:space="preserve"> тыс</w:t>
      </w:r>
      <w:proofErr w:type="gramStart"/>
      <w:r w:rsidR="00805A2C">
        <w:t>.р</w:t>
      </w:r>
      <w:proofErr w:type="gramEnd"/>
      <w:r w:rsidR="00805A2C">
        <w:t>уб.;</w:t>
      </w:r>
    </w:p>
    <w:p w:rsidR="00A00B77" w:rsidRDefault="00703101" w:rsidP="00A00B77">
      <w:pPr>
        <w:pStyle w:val="a4"/>
        <w:ind w:left="660"/>
      </w:pPr>
      <w:r>
        <w:t>3</w:t>
      </w:r>
      <w:r w:rsidR="00A00B77">
        <w:t>) остатк</w:t>
      </w:r>
      <w:r w:rsidR="00AD7D6A">
        <w:t>и</w:t>
      </w:r>
      <w:r w:rsidR="00A00B77">
        <w:t xml:space="preserve"> средств на счетах по учету бюджетных средств, образовавш</w:t>
      </w:r>
      <w:r w:rsidR="00144576">
        <w:t>ихся</w:t>
      </w:r>
      <w:r w:rsidR="00A00B77">
        <w:t xml:space="preserve"> по состоянию на 01.01.201</w:t>
      </w:r>
      <w:r>
        <w:t>8</w:t>
      </w:r>
      <w:r w:rsidR="00A00B77">
        <w:t xml:space="preserve"> года в сумме </w:t>
      </w:r>
      <w:r>
        <w:t>4593,0</w:t>
      </w:r>
      <w:r w:rsidR="00A00B77">
        <w:t xml:space="preserve"> тыс</w:t>
      </w:r>
      <w:proofErr w:type="gramStart"/>
      <w:r w:rsidR="00A00B77">
        <w:t>.р</w:t>
      </w:r>
      <w:proofErr w:type="gramEnd"/>
      <w:r w:rsidR="00A00B77">
        <w:t>уб.</w:t>
      </w:r>
    </w:p>
    <w:p w:rsidR="00A76645" w:rsidRDefault="00A061D4" w:rsidP="005C5019">
      <w:pPr>
        <w:pStyle w:val="a4"/>
      </w:pPr>
      <w:r>
        <w:t xml:space="preserve">      </w:t>
      </w:r>
      <w:r w:rsidR="00F06337">
        <w:t xml:space="preserve">    </w:t>
      </w:r>
      <w:r w:rsidR="0092684B">
        <w:t>Изменения</w:t>
      </w:r>
      <w:r w:rsidR="00DC60A5">
        <w:t xml:space="preserve"> расходной  части бюджета района  повлияли на структуру расходов. </w:t>
      </w:r>
      <w:r w:rsidR="00E62DD9">
        <w:t>Увеличилась доля бюджетных расходов по раздел</w:t>
      </w:r>
      <w:r w:rsidR="00F477AA">
        <w:t>ам</w:t>
      </w:r>
      <w:r w:rsidR="00E62DD9">
        <w:t>:</w:t>
      </w:r>
      <w:r w:rsidR="00A76645">
        <w:t xml:space="preserve"> «Жилищно-коммунальное хозяйство»</w:t>
      </w:r>
      <w:r w:rsidR="009C0140">
        <w:t xml:space="preserve"> с </w:t>
      </w:r>
      <w:r w:rsidR="00703101">
        <w:t>5,1</w:t>
      </w:r>
      <w:r w:rsidR="009C0140">
        <w:t xml:space="preserve">% до </w:t>
      </w:r>
      <w:r w:rsidR="00703101">
        <w:t>5,4</w:t>
      </w:r>
      <w:r w:rsidR="00F477AA">
        <w:t>%,</w:t>
      </w:r>
      <w:r w:rsidR="006B42CA">
        <w:t xml:space="preserve">  </w:t>
      </w:r>
      <w:r w:rsidR="00703101">
        <w:t xml:space="preserve">«Национальная безопасность и правоохранительная деятельность» с 1,2% до 1,3%, «Национальная экономика» с 9,0% </w:t>
      </w:r>
      <w:proofErr w:type="gramStart"/>
      <w:r w:rsidR="00703101">
        <w:t>до</w:t>
      </w:r>
      <w:proofErr w:type="gramEnd"/>
      <w:r w:rsidR="00703101">
        <w:t xml:space="preserve"> </w:t>
      </w:r>
      <w:r w:rsidR="00FA7C32">
        <w:t>9,1</w:t>
      </w:r>
      <w:r w:rsidR="00703101">
        <w:t>%,</w:t>
      </w:r>
    </w:p>
    <w:p w:rsidR="006B42CA" w:rsidRDefault="00E62DD9" w:rsidP="009C0140">
      <w:pPr>
        <w:pStyle w:val="a4"/>
      </w:pPr>
      <w:r>
        <w:t xml:space="preserve">  </w:t>
      </w:r>
      <w:r w:rsidR="009C0140">
        <w:tab/>
      </w:r>
      <w:r w:rsidR="00F477AA">
        <w:t>Сократилась</w:t>
      </w:r>
      <w:r>
        <w:t xml:space="preserve"> доля бюджетных расходов по разделам: </w:t>
      </w:r>
      <w:r w:rsidR="000C67B6">
        <w:t xml:space="preserve">«Общегосударственные расходы»  с </w:t>
      </w:r>
      <w:r w:rsidR="00FA7C32">
        <w:t>7,6</w:t>
      </w:r>
      <w:r w:rsidR="000C67B6">
        <w:t xml:space="preserve"> % до </w:t>
      </w:r>
      <w:r w:rsidR="00FA7C32">
        <w:t>7</w:t>
      </w:r>
      <w:r w:rsidR="000C67B6">
        <w:t xml:space="preserve">,3%, </w:t>
      </w:r>
    </w:p>
    <w:p w:rsidR="00CA3937" w:rsidRDefault="006E3C6A" w:rsidP="004C25B0">
      <w:pPr>
        <w:pStyle w:val="a4"/>
      </w:pPr>
      <w:r>
        <w:t xml:space="preserve"> </w:t>
      </w:r>
      <w:r w:rsidR="00F40824">
        <w:t xml:space="preserve"> </w:t>
      </w:r>
      <w:r w:rsidR="00E97ED3">
        <w:t xml:space="preserve">     </w:t>
      </w:r>
    </w:p>
    <w:p w:rsidR="0020177F" w:rsidRDefault="00CA3937" w:rsidP="00C22371">
      <w:pPr>
        <w:pStyle w:val="a4"/>
      </w:pPr>
      <w:r>
        <w:t xml:space="preserve">           </w:t>
      </w:r>
      <w:r w:rsidR="00E97ED3">
        <w:t xml:space="preserve"> </w:t>
      </w:r>
      <w:r w:rsidR="00117F2E">
        <w:t xml:space="preserve">Плановая </w:t>
      </w:r>
      <w:r w:rsidR="00117F2E" w:rsidRPr="00117F2E">
        <w:rPr>
          <w:b/>
        </w:rPr>
        <w:t>сумма дефицита</w:t>
      </w:r>
      <w:r w:rsidR="00117F2E">
        <w:t xml:space="preserve"> </w:t>
      </w:r>
      <w:r w:rsidR="00117F2E" w:rsidRPr="00117F2E">
        <w:rPr>
          <w:b/>
        </w:rPr>
        <w:t xml:space="preserve">бюджета </w:t>
      </w:r>
      <w:r w:rsidR="00117F2E">
        <w:t xml:space="preserve">муниципального образования </w:t>
      </w:r>
      <w:r w:rsidR="006E3C6A">
        <w:t>Ким</w:t>
      </w:r>
      <w:r w:rsidR="00117F2E">
        <w:t xml:space="preserve">овский район </w:t>
      </w:r>
      <w:r w:rsidR="008C65B2">
        <w:t xml:space="preserve">составит </w:t>
      </w:r>
      <w:r w:rsidR="00FA7C32">
        <w:t>35654,5</w:t>
      </w:r>
      <w:r w:rsidR="00E62DD9">
        <w:t xml:space="preserve"> тыс</w:t>
      </w:r>
      <w:proofErr w:type="gramStart"/>
      <w:r w:rsidR="00E62DD9">
        <w:t>.р</w:t>
      </w:r>
      <w:proofErr w:type="gramEnd"/>
      <w:r w:rsidR="00E62DD9">
        <w:t>уб.</w:t>
      </w:r>
      <w:r w:rsidR="009F49FB">
        <w:t xml:space="preserve"> тыс.рублей или </w:t>
      </w:r>
      <w:r w:rsidR="00FA7C32">
        <w:t>10,2</w:t>
      </w:r>
      <w:r w:rsidR="009F49FB">
        <w:t>% от налоговых и неналоговых доходов бюджета района.</w:t>
      </w:r>
    </w:p>
    <w:p w:rsidR="00350740" w:rsidRDefault="0020177F" w:rsidP="009472E2">
      <w:pPr>
        <w:pStyle w:val="a4"/>
        <w:ind w:firstLine="708"/>
      </w:pPr>
      <w:r>
        <w:lastRenderedPageBreak/>
        <w:t>Дефицит бюджета сложился за счет остатков на счете по учету бюджетных средств по состоянию на 01.01.201</w:t>
      </w:r>
      <w:r w:rsidR="00FA7C32">
        <w:t>8</w:t>
      </w:r>
      <w:r>
        <w:t xml:space="preserve"> года в сумме </w:t>
      </w:r>
      <w:r w:rsidR="00FA7C32">
        <w:t>4593,0</w:t>
      </w:r>
      <w:r>
        <w:t xml:space="preserve"> тыс</w:t>
      </w:r>
      <w:proofErr w:type="gramStart"/>
      <w:r>
        <w:t>.р</w:t>
      </w:r>
      <w:proofErr w:type="gramEnd"/>
      <w:r>
        <w:t>уб.</w:t>
      </w:r>
      <w:r w:rsidR="004C25B0">
        <w:t xml:space="preserve"> </w:t>
      </w:r>
      <w:r w:rsidR="00F477AA">
        <w:t xml:space="preserve">и увеличения расходов на </w:t>
      </w:r>
      <w:r w:rsidR="00FA7C32">
        <w:t>50</w:t>
      </w:r>
      <w:r w:rsidR="00144576">
        <w:t>0,</w:t>
      </w:r>
      <w:r w:rsidR="00F477AA">
        <w:t>0 тыс.руб. не обеспеченных доходными источниками.</w:t>
      </w:r>
    </w:p>
    <w:p w:rsidR="004E7AD9" w:rsidRDefault="004C25B0" w:rsidP="00350740">
      <w:pPr>
        <w:pStyle w:val="a4"/>
        <w:ind w:firstLine="708"/>
      </w:pPr>
      <w:r>
        <w:t xml:space="preserve"> </w:t>
      </w:r>
      <w:r w:rsidR="004E7AD9">
        <w:t>Источниками финансирования дефицита бюджета муниципального образования Кимовский район определены:</w:t>
      </w:r>
    </w:p>
    <w:p w:rsidR="004E7AD9" w:rsidRDefault="004E7AD9" w:rsidP="004E7AD9">
      <w:pPr>
        <w:pStyle w:val="a4"/>
        <w:numPr>
          <w:ilvl w:val="0"/>
          <w:numId w:val="6"/>
        </w:numPr>
      </w:pPr>
      <w:r>
        <w:t>изменение остатков средств на счетах по учету средств бюджета (</w:t>
      </w:r>
      <w:r w:rsidR="00FA7C32">
        <w:t>4593,0</w:t>
      </w:r>
      <w:r>
        <w:t xml:space="preserve"> тыс</w:t>
      </w:r>
      <w:proofErr w:type="gramStart"/>
      <w:r>
        <w:t>.р</w:t>
      </w:r>
      <w:proofErr w:type="gramEnd"/>
      <w:r>
        <w:t>ублей).</w:t>
      </w:r>
    </w:p>
    <w:p w:rsidR="00F477AA" w:rsidRDefault="009F49FB" w:rsidP="004E7AD9">
      <w:pPr>
        <w:pStyle w:val="a4"/>
        <w:numPr>
          <w:ilvl w:val="0"/>
          <w:numId w:val="6"/>
        </w:numPr>
      </w:pPr>
      <w:r>
        <w:t xml:space="preserve">кредиты </w:t>
      </w:r>
      <w:r w:rsidR="00FA7C32">
        <w:t>9561,5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9F49FB" w:rsidRDefault="009F49FB" w:rsidP="004E7AD9">
      <w:pPr>
        <w:pStyle w:val="a4"/>
        <w:numPr>
          <w:ilvl w:val="0"/>
          <w:numId w:val="6"/>
        </w:numPr>
      </w:pPr>
      <w:r>
        <w:t>иные источники внутреннего финансирования де</w:t>
      </w:r>
      <w:r w:rsidR="00FA7C32">
        <w:t>фицита бюджета 21500,0</w:t>
      </w:r>
      <w:r>
        <w:t xml:space="preserve"> тыс</w:t>
      </w:r>
      <w:proofErr w:type="gramStart"/>
      <w:r>
        <w:t>.р</w:t>
      </w:r>
      <w:proofErr w:type="gramEnd"/>
      <w:r>
        <w:t>уб. (гашение кредита предоставленного бюджету город Кимовск)</w:t>
      </w:r>
    </w:p>
    <w:p w:rsidR="004E7AD9" w:rsidRDefault="004E7AD9" w:rsidP="004E7AD9">
      <w:pPr>
        <w:pStyle w:val="a4"/>
      </w:pPr>
      <w:r>
        <w:t xml:space="preserve">           В соответствии со статьей 92.1 Бюджетного кодекса РФ допу</w:t>
      </w:r>
      <w:r w:rsidR="00D4058A">
        <w:t>скается</w:t>
      </w:r>
      <w:r>
        <w:t xml:space="preserve"> превышение предельного уровня дефицита бюджета муниципального образования (10%) </w:t>
      </w:r>
      <w:r w:rsidR="004A054C">
        <w:t>в</w:t>
      </w:r>
      <w:r>
        <w:t xml:space="preserve"> случае снижения остатков средств на счетах по учету средств бюджета муниципального образования.</w:t>
      </w:r>
    </w:p>
    <w:p w:rsidR="004C25B0" w:rsidRDefault="004E7AD9" w:rsidP="003E2A5F">
      <w:pPr>
        <w:pStyle w:val="a4"/>
      </w:pPr>
      <w:r>
        <w:t xml:space="preserve">          </w:t>
      </w:r>
    </w:p>
    <w:p w:rsidR="004C25B0" w:rsidRDefault="004C25B0" w:rsidP="00CA3937">
      <w:pPr>
        <w:pStyle w:val="a4"/>
      </w:pPr>
      <w:r>
        <w:t xml:space="preserve">           В </w:t>
      </w:r>
      <w:r w:rsidR="00696501">
        <w:t>результате</w:t>
      </w:r>
      <w:r>
        <w:t xml:space="preserve"> предложенный проект решения и сопутствующие ему документы отражают сложившуюся реальность и изменения, происходящие в социально-экономическом развитии Кимовского района. Структура расходов бюджета соответствует основным полномочиям муниципального района. </w:t>
      </w:r>
    </w:p>
    <w:p w:rsidR="00CB7204" w:rsidRPr="00F41DF4" w:rsidRDefault="00CB7204" w:rsidP="00CB72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41DF4">
        <w:rPr>
          <w:rFonts w:ascii="Times New Roman" w:hAnsi="Times New Roman" w:cs="Times New Roman"/>
          <w:sz w:val="24"/>
          <w:szCs w:val="24"/>
        </w:rPr>
        <w:t>На основании проведенной экспертизы Экспертный совет по проведению публичной независимой экспертизы законопроектов в области бюджетного и налогового законодательства пришел к вывод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41DF4">
        <w:rPr>
          <w:rFonts w:ascii="Times New Roman" w:hAnsi="Times New Roman" w:cs="Times New Roman"/>
          <w:sz w:val="24"/>
          <w:szCs w:val="24"/>
        </w:rPr>
        <w:t xml:space="preserve"> о возможности принятия проекта решения</w:t>
      </w:r>
      <w:r w:rsidR="00A81626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B242FC">
        <w:rPr>
          <w:rFonts w:ascii="Times New Roman" w:hAnsi="Times New Roman" w:cs="Times New Roman"/>
          <w:b/>
          <w:sz w:val="24"/>
          <w:szCs w:val="24"/>
        </w:rPr>
        <w:t>«</w:t>
      </w:r>
      <w:r w:rsidR="00A81626" w:rsidRPr="00536675">
        <w:rPr>
          <w:rFonts w:ascii="Times New Roman" w:hAnsi="Times New Roman" w:cs="Times New Roman"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CA3937">
        <w:rPr>
          <w:rFonts w:ascii="Times New Roman" w:hAnsi="Times New Roman" w:cs="Times New Roman"/>
          <w:b/>
          <w:sz w:val="24"/>
          <w:szCs w:val="24"/>
        </w:rPr>
        <w:t>р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ешение Собрания представителей муниципального образования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овский район от </w:t>
      </w:r>
      <w:r w:rsidR="00CA3937">
        <w:rPr>
          <w:rFonts w:ascii="Times New Roman" w:hAnsi="Times New Roman" w:cs="Times New Roman"/>
          <w:b/>
          <w:sz w:val="24"/>
          <w:szCs w:val="24"/>
        </w:rPr>
        <w:t>1</w:t>
      </w:r>
      <w:r w:rsidR="009F49FB">
        <w:rPr>
          <w:rFonts w:ascii="Times New Roman" w:hAnsi="Times New Roman" w:cs="Times New Roman"/>
          <w:b/>
          <w:sz w:val="24"/>
          <w:szCs w:val="24"/>
        </w:rPr>
        <w:t>4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FA7C32">
        <w:rPr>
          <w:rFonts w:ascii="Times New Roman" w:hAnsi="Times New Roman" w:cs="Times New Roman"/>
          <w:b/>
          <w:sz w:val="24"/>
          <w:szCs w:val="24"/>
        </w:rPr>
        <w:t>7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C32">
        <w:rPr>
          <w:rFonts w:ascii="Times New Roman" w:hAnsi="Times New Roman" w:cs="Times New Roman"/>
          <w:b/>
          <w:sz w:val="24"/>
          <w:szCs w:val="24"/>
        </w:rPr>
        <w:t>1</w:t>
      </w:r>
      <w:r w:rsidR="009F49FB">
        <w:rPr>
          <w:rFonts w:ascii="Times New Roman" w:hAnsi="Times New Roman" w:cs="Times New Roman"/>
          <w:b/>
          <w:sz w:val="24"/>
          <w:szCs w:val="24"/>
        </w:rPr>
        <w:t>9-</w:t>
      </w:r>
      <w:r w:rsidR="00FA7C32">
        <w:rPr>
          <w:rFonts w:ascii="Times New Roman" w:hAnsi="Times New Roman" w:cs="Times New Roman"/>
          <w:b/>
          <w:sz w:val="24"/>
          <w:szCs w:val="24"/>
        </w:rPr>
        <w:t>459</w:t>
      </w:r>
      <w:r w:rsidR="008C6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«О бюджете муниципального образования </w:t>
      </w:r>
      <w:r w:rsidR="00CA3937">
        <w:rPr>
          <w:rFonts w:ascii="Times New Roman" w:hAnsi="Times New Roman" w:cs="Times New Roman"/>
          <w:b/>
          <w:sz w:val="24"/>
          <w:szCs w:val="24"/>
        </w:rPr>
        <w:t>Ким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овский район на 201</w:t>
      </w:r>
      <w:r w:rsidR="00FA7C32">
        <w:rPr>
          <w:rFonts w:ascii="Times New Roman" w:hAnsi="Times New Roman" w:cs="Times New Roman"/>
          <w:b/>
          <w:sz w:val="24"/>
          <w:szCs w:val="24"/>
        </w:rPr>
        <w:t>8</w:t>
      </w:r>
      <w:r w:rsidR="00297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>год и  плановый период 201</w:t>
      </w:r>
      <w:r w:rsidR="00FA7C32">
        <w:rPr>
          <w:rFonts w:ascii="Times New Roman" w:hAnsi="Times New Roman" w:cs="Times New Roman"/>
          <w:b/>
          <w:sz w:val="24"/>
          <w:szCs w:val="24"/>
        </w:rPr>
        <w:t>9</w:t>
      </w:r>
      <w:r w:rsidR="0069650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A7C32">
        <w:rPr>
          <w:rFonts w:ascii="Times New Roman" w:hAnsi="Times New Roman" w:cs="Times New Roman"/>
          <w:b/>
          <w:sz w:val="24"/>
          <w:szCs w:val="24"/>
        </w:rPr>
        <w:t>20</w:t>
      </w:r>
      <w:r w:rsidR="00A81626" w:rsidRPr="0053667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Pr="00F41D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204" w:rsidRDefault="00CB7204" w:rsidP="00AC6878">
      <w:pPr>
        <w:pStyle w:val="a4"/>
        <w:jc w:val="left"/>
      </w:pPr>
    </w:p>
    <w:p w:rsidR="009F49FB" w:rsidRDefault="009F49FB" w:rsidP="00AC6878">
      <w:pPr>
        <w:pStyle w:val="a4"/>
        <w:jc w:val="left"/>
      </w:pPr>
    </w:p>
    <w:p w:rsidR="00A061D4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proofErr w:type="spellStart"/>
      <w:r w:rsidRPr="000C0E2D">
        <w:rPr>
          <w:sz w:val="24"/>
          <w:szCs w:val="24"/>
        </w:rPr>
        <w:t>Камынина</w:t>
      </w:r>
      <w:proofErr w:type="spellEnd"/>
      <w:r w:rsidRPr="000C0E2D">
        <w:rPr>
          <w:sz w:val="24"/>
          <w:szCs w:val="24"/>
        </w:rPr>
        <w:t xml:space="preserve"> Евгения Егоровна, </w:t>
      </w:r>
    </w:p>
    <w:p w:rsid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610BB">
        <w:rPr>
          <w:sz w:val="24"/>
          <w:szCs w:val="24"/>
        </w:rPr>
        <w:t>урочкина Наталья Александровна</w:t>
      </w:r>
      <w:r>
        <w:rPr>
          <w:sz w:val="24"/>
          <w:szCs w:val="24"/>
        </w:rPr>
        <w:t>,</w:t>
      </w:r>
      <w:r w:rsidRPr="006A709C">
        <w:rPr>
          <w:sz w:val="24"/>
          <w:szCs w:val="24"/>
        </w:rPr>
        <w:t xml:space="preserve"> </w:t>
      </w:r>
    </w:p>
    <w:p w:rsidR="006A709C" w:rsidRPr="006A709C" w:rsidRDefault="006A709C" w:rsidP="006A709C">
      <w:pPr>
        <w:pStyle w:val="3"/>
        <w:numPr>
          <w:ilvl w:val="0"/>
          <w:numId w:val="7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proofErr w:type="spellStart"/>
      <w:r w:rsidRPr="000C0E2D">
        <w:rPr>
          <w:sz w:val="24"/>
          <w:szCs w:val="24"/>
        </w:rPr>
        <w:t>Кораблинова</w:t>
      </w:r>
      <w:proofErr w:type="spellEnd"/>
      <w:r w:rsidRPr="000C0E2D">
        <w:rPr>
          <w:sz w:val="24"/>
          <w:szCs w:val="24"/>
        </w:rPr>
        <w:t xml:space="preserve"> Светлана Валентиновна, </w:t>
      </w:r>
    </w:p>
    <w:p w:rsidR="006A709C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Зорина Людмила Васильевна,</w:t>
      </w:r>
    </w:p>
    <w:p w:rsidR="00A061D4" w:rsidRPr="000C0E2D" w:rsidRDefault="006A709C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6A709C">
        <w:rPr>
          <w:sz w:val="24"/>
          <w:szCs w:val="24"/>
        </w:rPr>
        <w:t xml:space="preserve"> </w:t>
      </w:r>
      <w:r w:rsidR="00FA7C32">
        <w:rPr>
          <w:sz w:val="24"/>
          <w:szCs w:val="24"/>
        </w:rPr>
        <w:t>Колесникова Татьяна Александровна</w:t>
      </w:r>
      <w:r>
        <w:rPr>
          <w:sz w:val="24"/>
          <w:szCs w:val="24"/>
        </w:rPr>
        <w:t>,</w:t>
      </w:r>
    </w:p>
    <w:p w:rsidR="00A061D4" w:rsidRPr="000C0E2D" w:rsidRDefault="00A061D4" w:rsidP="00A061D4">
      <w:pPr>
        <w:pStyle w:val="3"/>
        <w:numPr>
          <w:ilvl w:val="1"/>
          <w:numId w:val="8"/>
        </w:numPr>
        <w:spacing w:after="0" w:line="480" w:lineRule="auto"/>
        <w:ind w:left="0" w:firstLine="4111"/>
        <w:jc w:val="both"/>
        <w:rPr>
          <w:sz w:val="24"/>
          <w:szCs w:val="24"/>
        </w:rPr>
      </w:pPr>
      <w:r w:rsidRPr="000C0E2D">
        <w:rPr>
          <w:sz w:val="24"/>
          <w:szCs w:val="24"/>
        </w:rPr>
        <w:t>Колом</w:t>
      </w:r>
      <w:r w:rsidR="006A709C">
        <w:rPr>
          <w:sz w:val="24"/>
          <w:szCs w:val="24"/>
        </w:rPr>
        <w:t>иец Татьяна Леонидовна.</w:t>
      </w:r>
      <w:r w:rsidRPr="000C0E2D">
        <w:rPr>
          <w:sz w:val="24"/>
          <w:szCs w:val="24"/>
        </w:rPr>
        <w:t xml:space="preserve"> </w:t>
      </w:r>
    </w:p>
    <w:p w:rsidR="00A061D4" w:rsidRPr="000C0E2D" w:rsidRDefault="00A061D4" w:rsidP="006A709C">
      <w:pPr>
        <w:pStyle w:val="3"/>
        <w:spacing w:after="0" w:line="480" w:lineRule="auto"/>
        <w:ind w:left="4111"/>
        <w:jc w:val="both"/>
        <w:rPr>
          <w:sz w:val="24"/>
          <w:szCs w:val="24"/>
        </w:rPr>
      </w:pPr>
    </w:p>
    <w:p w:rsidR="00273484" w:rsidRDefault="00273484" w:rsidP="00AC6878">
      <w:pPr>
        <w:pStyle w:val="a4"/>
        <w:jc w:val="left"/>
      </w:pPr>
    </w:p>
    <w:p w:rsidR="00273484" w:rsidRDefault="00273484" w:rsidP="00AC6878">
      <w:pPr>
        <w:pStyle w:val="a4"/>
        <w:jc w:val="left"/>
      </w:pPr>
    </w:p>
    <w:p w:rsidR="00273484" w:rsidRDefault="00273484" w:rsidP="00CA3937"/>
    <w:sectPr w:rsidR="00273484" w:rsidSect="009F49FB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A7"/>
    <w:multiLevelType w:val="hybridMultilevel"/>
    <w:tmpl w:val="0E88B228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908843D4">
      <w:start w:val="1"/>
      <w:numFmt w:val="bullet"/>
      <w:lvlText w:val="–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35E8312E"/>
    <w:multiLevelType w:val="hybridMultilevel"/>
    <w:tmpl w:val="AD66A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2D5C57"/>
    <w:multiLevelType w:val="hybridMultilevel"/>
    <w:tmpl w:val="6BC4D364"/>
    <w:lvl w:ilvl="0" w:tplc="5EE25FE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BC819AD"/>
    <w:multiLevelType w:val="hybridMultilevel"/>
    <w:tmpl w:val="906C2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4B14D1"/>
    <w:multiLevelType w:val="hybridMultilevel"/>
    <w:tmpl w:val="838E7514"/>
    <w:lvl w:ilvl="0" w:tplc="908843D4">
      <w:start w:val="1"/>
      <w:numFmt w:val="bullet"/>
      <w:lvlText w:val="–"/>
      <w:lvlJc w:val="left"/>
      <w:pPr>
        <w:ind w:left="17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719E0E64"/>
    <w:multiLevelType w:val="hybridMultilevel"/>
    <w:tmpl w:val="A9944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02F79"/>
    <w:multiLevelType w:val="hybridMultilevel"/>
    <w:tmpl w:val="F570958E"/>
    <w:lvl w:ilvl="0" w:tplc="CC76465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6675"/>
    <w:rsid w:val="00015DFF"/>
    <w:rsid w:val="00023F81"/>
    <w:rsid w:val="000251E2"/>
    <w:rsid w:val="000254B5"/>
    <w:rsid w:val="00043B1C"/>
    <w:rsid w:val="00046438"/>
    <w:rsid w:val="000466FC"/>
    <w:rsid w:val="0008311B"/>
    <w:rsid w:val="000A1BC9"/>
    <w:rsid w:val="000A2FC5"/>
    <w:rsid w:val="000A383D"/>
    <w:rsid w:val="000A7AAE"/>
    <w:rsid w:val="000B3D7D"/>
    <w:rsid w:val="000B494E"/>
    <w:rsid w:val="000C006F"/>
    <w:rsid w:val="000C146D"/>
    <w:rsid w:val="000C3D33"/>
    <w:rsid w:val="000C67B6"/>
    <w:rsid w:val="000C6E27"/>
    <w:rsid w:val="000D5357"/>
    <w:rsid w:val="000E1408"/>
    <w:rsid w:val="000E1D49"/>
    <w:rsid w:val="000E5275"/>
    <w:rsid w:val="000F19A8"/>
    <w:rsid w:val="00102822"/>
    <w:rsid w:val="001168B0"/>
    <w:rsid w:val="00116A91"/>
    <w:rsid w:val="00116F4F"/>
    <w:rsid w:val="00117416"/>
    <w:rsid w:val="00117F2E"/>
    <w:rsid w:val="00120395"/>
    <w:rsid w:val="001326C0"/>
    <w:rsid w:val="00144576"/>
    <w:rsid w:val="001449D3"/>
    <w:rsid w:val="00146FF4"/>
    <w:rsid w:val="00147DF3"/>
    <w:rsid w:val="00150D1C"/>
    <w:rsid w:val="00156062"/>
    <w:rsid w:val="0017496B"/>
    <w:rsid w:val="0017641A"/>
    <w:rsid w:val="00176EE6"/>
    <w:rsid w:val="001805E4"/>
    <w:rsid w:val="00193D50"/>
    <w:rsid w:val="001A315A"/>
    <w:rsid w:val="001A4D32"/>
    <w:rsid w:val="001B17EF"/>
    <w:rsid w:val="001C2229"/>
    <w:rsid w:val="001C367C"/>
    <w:rsid w:val="001C3861"/>
    <w:rsid w:val="001C39D4"/>
    <w:rsid w:val="001C64C2"/>
    <w:rsid w:val="001D4A00"/>
    <w:rsid w:val="001D6118"/>
    <w:rsid w:val="001E3340"/>
    <w:rsid w:val="001F6524"/>
    <w:rsid w:val="0020177F"/>
    <w:rsid w:val="00202357"/>
    <w:rsid w:val="002121F4"/>
    <w:rsid w:val="002129C3"/>
    <w:rsid w:val="00216670"/>
    <w:rsid w:val="00226CAA"/>
    <w:rsid w:val="00226D45"/>
    <w:rsid w:val="002316B4"/>
    <w:rsid w:val="0023758C"/>
    <w:rsid w:val="00250EDD"/>
    <w:rsid w:val="0026346B"/>
    <w:rsid w:val="00264393"/>
    <w:rsid w:val="00273484"/>
    <w:rsid w:val="00274D6D"/>
    <w:rsid w:val="00276A32"/>
    <w:rsid w:val="00282E06"/>
    <w:rsid w:val="002848E3"/>
    <w:rsid w:val="00284EE2"/>
    <w:rsid w:val="00290465"/>
    <w:rsid w:val="00297C40"/>
    <w:rsid w:val="002A48D7"/>
    <w:rsid w:val="002A5FC2"/>
    <w:rsid w:val="002B4C30"/>
    <w:rsid w:val="002C4E6F"/>
    <w:rsid w:val="002D261D"/>
    <w:rsid w:val="002E12F1"/>
    <w:rsid w:val="002E34DD"/>
    <w:rsid w:val="002E44E0"/>
    <w:rsid w:val="002F45C6"/>
    <w:rsid w:val="00306544"/>
    <w:rsid w:val="00311AA8"/>
    <w:rsid w:val="00316344"/>
    <w:rsid w:val="003327EA"/>
    <w:rsid w:val="00333703"/>
    <w:rsid w:val="0034195F"/>
    <w:rsid w:val="00347F97"/>
    <w:rsid w:val="00350740"/>
    <w:rsid w:val="00353465"/>
    <w:rsid w:val="00355350"/>
    <w:rsid w:val="00356595"/>
    <w:rsid w:val="00356C11"/>
    <w:rsid w:val="00360B4E"/>
    <w:rsid w:val="003638C9"/>
    <w:rsid w:val="00372C3C"/>
    <w:rsid w:val="00372D51"/>
    <w:rsid w:val="003809C4"/>
    <w:rsid w:val="00383A78"/>
    <w:rsid w:val="00393681"/>
    <w:rsid w:val="003A0582"/>
    <w:rsid w:val="003A74FC"/>
    <w:rsid w:val="003B40A6"/>
    <w:rsid w:val="003B7A97"/>
    <w:rsid w:val="003D1048"/>
    <w:rsid w:val="003E2A5F"/>
    <w:rsid w:val="00402B1C"/>
    <w:rsid w:val="00405A71"/>
    <w:rsid w:val="004125B8"/>
    <w:rsid w:val="0041651D"/>
    <w:rsid w:val="00421560"/>
    <w:rsid w:val="00441A78"/>
    <w:rsid w:val="00452750"/>
    <w:rsid w:val="00456078"/>
    <w:rsid w:val="004569F2"/>
    <w:rsid w:val="004724AC"/>
    <w:rsid w:val="00477FCD"/>
    <w:rsid w:val="00484032"/>
    <w:rsid w:val="00484BC6"/>
    <w:rsid w:val="004906A5"/>
    <w:rsid w:val="004A054C"/>
    <w:rsid w:val="004A6D91"/>
    <w:rsid w:val="004B0E71"/>
    <w:rsid w:val="004B46DC"/>
    <w:rsid w:val="004B47A4"/>
    <w:rsid w:val="004C25B0"/>
    <w:rsid w:val="004C51A3"/>
    <w:rsid w:val="004C7FDA"/>
    <w:rsid w:val="004D1DC3"/>
    <w:rsid w:val="004D2961"/>
    <w:rsid w:val="004E7AD9"/>
    <w:rsid w:val="00501124"/>
    <w:rsid w:val="0050751F"/>
    <w:rsid w:val="00536675"/>
    <w:rsid w:val="005411E8"/>
    <w:rsid w:val="005459F8"/>
    <w:rsid w:val="00556795"/>
    <w:rsid w:val="00561EE8"/>
    <w:rsid w:val="0056266F"/>
    <w:rsid w:val="00564D46"/>
    <w:rsid w:val="00582CC4"/>
    <w:rsid w:val="0059361D"/>
    <w:rsid w:val="00594165"/>
    <w:rsid w:val="005A29F8"/>
    <w:rsid w:val="005A686A"/>
    <w:rsid w:val="005B11AE"/>
    <w:rsid w:val="005C0FF1"/>
    <w:rsid w:val="005C34D8"/>
    <w:rsid w:val="005C484D"/>
    <w:rsid w:val="005C5019"/>
    <w:rsid w:val="005D4E19"/>
    <w:rsid w:val="005D6215"/>
    <w:rsid w:val="005F36E1"/>
    <w:rsid w:val="005F3AC3"/>
    <w:rsid w:val="005F48C1"/>
    <w:rsid w:val="00601842"/>
    <w:rsid w:val="006171E0"/>
    <w:rsid w:val="0062463B"/>
    <w:rsid w:val="00634822"/>
    <w:rsid w:val="006354C3"/>
    <w:rsid w:val="00636387"/>
    <w:rsid w:val="006469EC"/>
    <w:rsid w:val="006515B6"/>
    <w:rsid w:val="00651EDF"/>
    <w:rsid w:val="00653C29"/>
    <w:rsid w:val="00681614"/>
    <w:rsid w:val="0068310E"/>
    <w:rsid w:val="006867CC"/>
    <w:rsid w:val="00696501"/>
    <w:rsid w:val="006A3FBA"/>
    <w:rsid w:val="006A709C"/>
    <w:rsid w:val="006A732B"/>
    <w:rsid w:val="006B42CA"/>
    <w:rsid w:val="006C30AB"/>
    <w:rsid w:val="006D00C3"/>
    <w:rsid w:val="006E3C6A"/>
    <w:rsid w:val="006F2D5C"/>
    <w:rsid w:val="006F4975"/>
    <w:rsid w:val="00703101"/>
    <w:rsid w:val="00707534"/>
    <w:rsid w:val="007164C0"/>
    <w:rsid w:val="00723DDB"/>
    <w:rsid w:val="00726B70"/>
    <w:rsid w:val="00736917"/>
    <w:rsid w:val="00737C29"/>
    <w:rsid w:val="00743FF9"/>
    <w:rsid w:val="00745061"/>
    <w:rsid w:val="00746222"/>
    <w:rsid w:val="00750799"/>
    <w:rsid w:val="00756C9E"/>
    <w:rsid w:val="00761AED"/>
    <w:rsid w:val="00762943"/>
    <w:rsid w:val="007846D5"/>
    <w:rsid w:val="00784795"/>
    <w:rsid w:val="007A1EBC"/>
    <w:rsid w:val="007A6131"/>
    <w:rsid w:val="007C1D3C"/>
    <w:rsid w:val="007D250F"/>
    <w:rsid w:val="007E1342"/>
    <w:rsid w:val="00805A2C"/>
    <w:rsid w:val="00816980"/>
    <w:rsid w:val="00836E4E"/>
    <w:rsid w:val="00845178"/>
    <w:rsid w:val="00845D19"/>
    <w:rsid w:val="008536C9"/>
    <w:rsid w:val="00865168"/>
    <w:rsid w:val="0087729A"/>
    <w:rsid w:val="00881D35"/>
    <w:rsid w:val="00886013"/>
    <w:rsid w:val="008A075E"/>
    <w:rsid w:val="008A1B2A"/>
    <w:rsid w:val="008A2651"/>
    <w:rsid w:val="008A7BDB"/>
    <w:rsid w:val="008B3886"/>
    <w:rsid w:val="008C5025"/>
    <w:rsid w:val="008C65B2"/>
    <w:rsid w:val="008C7F89"/>
    <w:rsid w:val="008D0D69"/>
    <w:rsid w:val="008D4271"/>
    <w:rsid w:val="008E3FFF"/>
    <w:rsid w:val="0090224D"/>
    <w:rsid w:val="009039BA"/>
    <w:rsid w:val="009041FE"/>
    <w:rsid w:val="00904C07"/>
    <w:rsid w:val="0090549C"/>
    <w:rsid w:val="009055D8"/>
    <w:rsid w:val="00906618"/>
    <w:rsid w:val="009124BF"/>
    <w:rsid w:val="00917C83"/>
    <w:rsid w:val="0092115E"/>
    <w:rsid w:val="009255B3"/>
    <w:rsid w:val="0092684B"/>
    <w:rsid w:val="00927DA9"/>
    <w:rsid w:val="009329F3"/>
    <w:rsid w:val="00933C9A"/>
    <w:rsid w:val="009356D9"/>
    <w:rsid w:val="009442A1"/>
    <w:rsid w:val="00944432"/>
    <w:rsid w:val="009472E2"/>
    <w:rsid w:val="009505EA"/>
    <w:rsid w:val="009515ED"/>
    <w:rsid w:val="0095309F"/>
    <w:rsid w:val="009610BB"/>
    <w:rsid w:val="00961D1D"/>
    <w:rsid w:val="00966D57"/>
    <w:rsid w:val="00966F7E"/>
    <w:rsid w:val="00975FF9"/>
    <w:rsid w:val="0098176C"/>
    <w:rsid w:val="009855D5"/>
    <w:rsid w:val="00994E5C"/>
    <w:rsid w:val="009A6140"/>
    <w:rsid w:val="009B1AE9"/>
    <w:rsid w:val="009B5795"/>
    <w:rsid w:val="009C0140"/>
    <w:rsid w:val="009C5069"/>
    <w:rsid w:val="009C540A"/>
    <w:rsid w:val="009D08AF"/>
    <w:rsid w:val="009D566F"/>
    <w:rsid w:val="009D7EEF"/>
    <w:rsid w:val="009E2874"/>
    <w:rsid w:val="009E30D0"/>
    <w:rsid w:val="009E5BFB"/>
    <w:rsid w:val="009E60AF"/>
    <w:rsid w:val="009E7005"/>
    <w:rsid w:val="009F18AB"/>
    <w:rsid w:val="009F46B9"/>
    <w:rsid w:val="009F49FB"/>
    <w:rsid w:val="009F4DE6"/>
    <w:rsid w:val="00A00B77"/>
    <w:rsid w:val="00A01CFA"/>
    <w:rsid w:val="00A05800"/>
    <w:rsid w:val="00A061D4"/>
    <w:rsid w:val="00A1183C"/>
    <w:rsid w:val="00A3134F"/>
    <w:rsid w:val="00A543B9"/>
    <w:rsid w:val="00A608C3"/>
    <w:rsid w:val="00A66A93"/>
    <w:rsid w:val="00A71B24"/>
    <w:rsid w:val="00A7206B"/>
    <w:rsid w:val="00A76645"/>
    <w:rsid w:val="00A81626"/>
    <w:rsid w:val="00A828E6"/>
    <w:rsid w:val="00A87DC4"/>
    <w:rsid w:val="00AA3AC6"/>
    <w:rsid w:val="00AB2605"/>
    <w:rsid w:val="00AB32A9"/>
    <w:rsid w:val="00AB3C77"/>
    <w:rsid w:val="00AC6878"/>
    <w:rsid w:val="00AD7D6A"/>
    <w:rsid w:val="00AE43EB"/>
    <w:rsid w:val="00AE4EF4"/>
    <w:rsid w:val="00AF6AC3"/>
    <w:rsid w:val="00B122C3"/>
    <w:rsid w:val="00B3315C"/>
    <w:rsid w:val="00B343A0"/>
    <w:rsid w:val="00B36482"/>
    <w:rsid w:val="00B44D3E"/>
    <w:rsid w:val="00B44E8E"/>
    <w:rsid w:val="00B46AF0"/>
    <w:rsid w:val="00B55220"/>
    <w:rsid w:val="00B6184F"/>
    <w:rsid w:val="00B664AC"/>
    <w:rsid w:val="00B81FCB"/>
    <w:rsid w:val="00B87C62"/>
    <w:rsid w:val="00BA2A84"/>
    <w:rsid w:val="00BA41F4"/>
    <w:rsid w:val="00BB5039"/>
    <w:rsid w:val="00BC16A4"/>
    <w:rsid w:val="00BC26C8"/>
    <w:rsid w:val="00BC77A8"/>
    <w:rsid w:val="00BE4039"/>
    <w:rsid w:val="00BE7551"/>
    <w:rsid w:val="00BF7C38"/>
    <w:rsid w:val="00C001FC"/>
    <w:rsid w:val="00C02B98"/>
    <w:rsid w:val="00C0520A"/>
    <w:rsid w:val="00C07DB5"/>
    <w:rsid w:val="00C12111"/>
    <w:rsid w:val="00C22371"/>
    <w:rsid w:val="00C23525"/>
    <w:rsid w:val="00C256F9"/>
    <w:rsid w:val="00C30C65"/>
    <w:rsid w:val="00C32005"/>
    <w:rsid w:val="00C3271C"/>
    <w:rsid w:val="00C33D00"/>
    <w:rsid w:val="00C34B7F"/>
    <w:rsid w:val="00C5644D"/>
    <w:rsid w:val="00C66B35"/>
    <w:rsid w:val="00C66FD1"/>
    <w:rsid w:val="00C67D34"/>
    <w:rsid w:val="00C72125"/>
    <w:rsid w:val="00C84DBC"/>
    <w:rsid w:val="00C93608"/>
    <w:rsid w:val="00C96881"/>
    <w:rsid w:val="00CA02E0"/>
    <w:rsid w:val="00CA3937"/>
    <w:rsid w:val="00CA63B2"/>
    <w:rsid w:val="00CB7204"/>
    <w:rsid w:val="00CC4653"/>
    <w:rsid w:val="00CE4FBA"/>
    <w:rsid w:val="00CE7C6F"/>
    <w:rsid w:val="00D0229E"/>
    <w:rsid w:val="00D14429"/>
    <w:rsid w:val="00D155A3"/>
    <w:rsid w:val="00D1621A"/>
    <w:rsid w:val="00D16EC1"/>
    <w:rsid w:val="00D23510"/>
    <w:rsid w:val="00D23F21"/>
    <w:rsid w:val="00D3005C"/>
    <w:rsid w:val="00D302DB"/>
    <w:rsid w:val="00D353BF"/>
    <w:rsid w:val="00D372AA"/>
    <w:rsid w:val="00D4058A"/>
    <w:rsid w:val="00D4074F"/>
    <w:rsid w:val="00D43663"/>
    <w:rsid w:val="00D500A4"/>
    <w:rsid w:val="00D57138"/>
    <w:rsid w:val="00D630A5"/>
    <w:rsid w:val="00D64A75"/>
    <w:rsid w:val="00D66EDA"/>
    <w:rsid w:val="00D70429"/>
    <w:rsid w:val="00D7592A"/>
    <w:rsid w:val="00D80EDF"/>
    <w:rsid w:val="00D84963"/>
    <w:rsid w:val="00D9622B"/>
    <w:rsid w:val="00D97160"/>
    <w:rsid w:val="00DB135B"/>
    <w:rsid w:val="00DC1BC3"/>
    <w:rsid w:val="00DC4ECF"/>
    <w:rsid w:val="00DC60A5"/>
    <w:rsid w:val="00DC6CC4"/>
    <w:rsid w:val="00DC7F63"/>
    <w:rsid w:val="00DE14A0"/>
    <w:rsid w:val="00DF7FFD"/>
    <w:rsid w:val="00E13B86"/>
    <w:rsid w:val="00E17B7E"/>
    <w:rsid w:val="00E204F0"/>
    <w:rsid w:val="00E2076F"/>
    <w:rsid w:val="00E2691E"/>
    <w:rsid w:val="00E31E6A"/>
    <w:rsid w:val="00E321D4"/>
    <w:rsid w:val="00E323F0"/>
    <w:rsid w:val="00E32F7F"/>
    <w:rsid w:val="00E50068"/>
    <w:rsid w:val="00E51454"/>
    <w:rsid w:val="00E5158C"/>
    <w:rsid w:val="00E55BFC"/>
    <w:rsid w:val="00E62DD9"/>
    <w:rsid w:val="00E643C5"/>
    <w:rsid w:val="00E65CED"/>
    <w:rsid w:val="00E728CE"/>
    <w:rsid w:val="00E826F0"/>
    <w:rsid w:val="00E90C62"/>
    <w:rsid w:val="00E97ED3"/>
    <w:rsid w:val="00EA5165"/>
    <w:rsid w:val="00EA55D2"/>
    <w:rsid w:val="00EB63B3"/>
    <w:rsid w:val="00EC6797"/>
    <w:rsid w:val="00ED10D7"/>
    <w:rsid w:val="00ED664C"/>
    <w:rsid w:val="00ED68F1"/>
    <w:rsid w:val="00ED6DD7"/>
    <w:rsid w:val="00EE4F70"/>
    <w:rsid w:val="00EE7657"/>
    <w:rsid w:val="00EF0F9A"/>
    <w:rsid w:val="00EF2348"/>
    <w:rsid w:val="00EF3309"/>
    <w:rsid w:val="00EF7CD0"/>
    <w:rsid w:val="00F04597"/>
    <w:rsid w:val="00F04FBA"/>
    <w:rsid w:val="00F06337"/>
    <w:rsid w:val="00F16351"/>
    <w:rsid w:val="00F22A88"/>
    <w:rsid w:val="00F24930"/>
    <w:rsid w:val="00F35438"/>
    <w:rsid w:val="00F40824"/>
    <w:rsid w:val="00F429F0"/>
    <w:rsid w:val="00F43148"/>
    <w:rsid w:val="00F46D74"/>
    <w:rsid w:val="00F477AA"/>
    <w:rsid w:val="00F50271"/>
    <w:rsid w:val="00F52907"/>
    <w:rsid w:val="00F556B9"/>
    <w:rsid w:val="00F62E32"/>
    <w:rsid w:val="00F64081"/>
    <w:rsid w:val="00F6452A"/>
    <w:rsid w:val="00F70531"/>
    <w:rsid w:val="00F736EC"/>
    <w:rsid w:val="00F75390"/>
    <w:rsid w:val="00F8201B"/>
    <w:rsid w:val="00F831CC"/>
    <w:rsid w:val="00F86D6D"/>
    <w:rsid w:val="00FA06FE"/>
    <w:rsid w:val="00FA7C32"/>
    <w:rsid w:val="00FC197A"/>
    <w:rsid w:val="00FC2D7A"/>
    <w:rsid w:val="00FC386B"/>
    <w:rsid w:val="00FC62BA"/>
    <w:rsid w:val="00FC7D98"/>
    <w:rsid w:val="00FD02E6"/>
    <w:rsid w:val="00FD21B0"/>
    <w:rsid w:val="00FD38D9"/>
    <w:rsid w:val="00FD5358"/>
    <w:rsid w:val="00FE3BB9"/>
    <w:rsid w:val="00FE59FB"/>
    <w:rsid w:val="00FF1C95"/>
    <w:rsid w:val="00FF4B70"/>
    <w:rsid w:val="00FF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69"/>
    <w:rPr>
      <w:sz w:val="24"/>
      <w:szCs w:val="24"/>
    </w:rPr>
  </w:style>
  <w:style w:type="paragraph" w:styleId="1">
    <w:name w:val="heading 1"/>
    <w:basedOn w:val="a"/>
    <w:qFormat/>
    <w:rsid w:val="005366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36675"/>
    <w:pPr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536675"/>
    <w:pPr>
      <w:jc w:val="center"/>
    </w:pPr>
    <w:rPr>
      <w:rFonts w:ascii="Tahoma" w:hAnsi="Tahoma" w:cs="Tahoma"/>
      <w:b/>
      <w:bCs/>
      <w:sz w:val="20"/>
      <w:szCs w:val="20"/>
    </w:rPr>
  </w:style>
  <w:style w:type="paragraph" w:styleId="a4">
    <w:name w:val="Body Text"/>
    <w:basedOn w:val="a"/>
    <w:rsid w:val="00D23F21"/>
    <w:pPr>
      <w:jc w:val="both"/>
    </w:pPr>
  </w:style>
  <w:style w:type="paragraph" w:customStyle="1" w:styleId="a5">
    <w:name w:val="Знак Знак Знак Знак"/>
    <w:basedOn w:val="a"/>
    <w:rsid w:val="00D23F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3B40A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FE59FB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E014-1BA7-4506-8A41-D67F4CC1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ФУ администрации МО Узловский район</Company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Гнездилова НВ</dc:creator>
  <cp:lastModifiedBy>Пользователь Windows</cp:lastModifiedBy>
  <cp:revision>2</cp:revision>
  <cp:lastPrinted>2018-03-21T13:29:00Z</cp:lastPrinted>
  <dcterms:created xsi:type="dcterms:W3CDTF">2018-04-06T09:50:00Z</dcterms:created>
  <dcterms:modified xsi:type="dcterms:W3CDTF">2018-04-06T09:50:00Z</dcterms:modified>
</cp:coreProperties>
</file>