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90" w:rsidRDefault="00A92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Отчет </w:t>
      </w:r>
    </w:p>
    <w:p w:rsidR="00DD4B90" w:rsidRDefault="00A92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ходе реализации и оценке эффективности муниципальной программы «Повышение общественной безопасности населения и развитие местного самоуправления в муниципальном образовании Кимовский район» за 2016г.</w:t>
      </w:r>
    </w:p>
    <w:p w:rsidR="00DD4B90" w:rsidRDefault="00DD4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90" w:rsidRDefault="00A920E5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предотвращения преступлений </w:t>
      </w:r>
      <w:r>
        <w:rPr>
          <w:rFonts w:ascii="Times New Roman" w:hAnsi="Times New Roman"/>
          <w:sz w:val="24"/>
          <w:szCs w:val="24"/>
        </w:rPr>
        <w:t>экстремистской направленности, возможных террористических актов и других тяжких и особо тяжких преступлений, в 2016 году на постоянной основе ориентируется личный состав МОМВД России « Кимовский» на выявление лиц, вынашивающих планы и подготавливающих сове</w:t>
      </w:r>
      <w:r>
        <w:rPr>
          <w:rFonts w:ascii="Times New Roman" w:hAnsi="Times New Roman"/>
          <w:sz w:val="24"/>
          <w:szCs w:val="24"/>
        </w:rPr>
        <w:t>ршение преступлений данного вида, а так же проводятся встречи с руководителями общественных организаций.</w:t>
      </w:r>
    </w:p>
    <w:p w:rsidR="00DD4B90" w:rsidRDefault="00A920E5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общественного порядка, своевременного выявления предпосылок осложнения обстановки в сфере межнациональных отношений, на регулярной </w:t>
      </w:r>
      <w:r>
        <w:rPr>
          <w:rFonts w:ascii="Times New Roman" w:hAnsi="Times New Roman"/>
          <w:sz w:val="24"/>
          <w:szCs w:val="24"/>
        </w:rPr>
        <w:t xml:space="preserve">основе осуществляется мониторинг </w:t>
      </w:r>
      <w:bookmarkStart w:id="0" w:name="_GoBack1"/>
      <w:bookmarkEnd w:id="0"/>
      <w:r>
        <w:rPr>
          <w:rFonts w:ascii="Times New Roman" w:hAnsi="Times New Roman"/>
          <w:sz w:val="24"/>
          <w:szCs w:val="24"/>
        </w:rPr>
        <w:t>оперативной обстановки' и взаимное информирование по вопросам межнациональных отношений между территориальными органами федеральных органов исполнительной власти и органами местного самоуправления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Кимовский район.</w:t>
      </w:r>
    </w:p>
    <w:p w:rsidR="00DD4B90" w:rsidRDefault="00A920E5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работа по выявлению формирующихся конфликтов в сфере межнациональных отношений, их предупреждения и мероприятия направленные на ликвидацию последствий, установлению лиц, разделяющих радикальные исламистские убеждения, с целью и</w:t>
      </w:r>
      <w:r>
        <w:rPr>
          <w:rFonts w:ascii="Times New Roman" w:hAnsi="Times New Roman"/>
          <w:sz w:val="24"/>
          <w:szCs w:val="24"/>
        </w:rPr>
        <w:t>х дальнейшего оперативного прикрытия.</w:t>
      </w:r>
    </w:p>
    <w:p w:rsidR="00DD4B90" w:rsidRDefault="00A920E5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постоянной основе в Кимовском районе, ведется работа по выявлению лиц, участвовавших в вооруженных конфликтах, имеющих намерения совершить террористические акты, а также лиц способных осуществить противоправные дейс</w:t>
      </w:r>
      <w:r>
        <w:rPr>
          <w:rFonts w:ascii="Times New Roman" w:hAnsi="Times New Roman"/>
          <w:sz w:val="24"/>
          <w:szCs w:val="24"/>
        </w:rPr>
        <w:t>твия в отношении представителей других религий.</w:t>
      </w:r>
    </w:p>
    <w:p w:rsidR="00DD4B90" w:rsidRDefault="00A920E5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Ведется работа направленная на выявление, пресечение фактов оказания финансовой и иной материальной помощи экстремистским и террористическим структурам.</w:t>
      </w:r>
    </w:p>
    <w:p w:rsidR="00DD4B90" w:rsidRDefault="00A920E5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Проводится работа направленная на получение информации </w:t>
      </w:r>
      <w:r>
        <w:rPr>
          <w:rFonts w:ascii="Times New Roman" w:hAnsi="Times New Roman"/>
          <w:sz w:val="24"/>
          <w:szCs w:val="24"/>
        </w:rPr>
        <w:t>о членах радикальных, религиозно- экстремистских группировок и этнических организованных сообществ.</w:t>
      </w:r>
    </w:p>
    <w:p w:rsidR="00DD4B90" w:rsidRDefault="00A920E5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массовых мероприятий, ведется работа по обеспечению правопорядка и общественной безопасности, объектов транспортной инфраструктуры.</w:t>
      </w:r>
    </w:p>
    <w:p w:rsidR="00DD4B90" w:rsidRDefault="00A920E5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Проводятс</w:t>
      </w:r>
      <w:r>
        <w:rPr>
          <w:rFonts w:ascii="Times New Roman" w:hAnsi="Times New Roman"/>
          <w:sz w:val="24"/>
          <w:szCs w:val="24"/>
        </w:rPr>
        <w:t>я встречи с руководителями общественных объединений и религиозных организаций, с получения информации о лицах вынашивающих намерения совершить экстремистские действия, а так же теракты.</w:t>
      </w:r>
    </w:p>
    <w:p w:rsidR="00DD4B90" w:rsidRDefault="00A920E5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постоянной основе сотрудниками ПДН МОМВД России «Кимовский» в образ</w:t>
      </w:r>
      <w:r>
        <w:rPr>
          <w:rFonts w:ascii="Times New Roman" w:hAnsi="Times New Roman"/>
          <w:sz w:val="24"/>
          <w:szCs w:val="24"/>
        </w:rPr>
        <w:t>овательных учреждениях Кимовского района профилактические и разъяснительные беседы с учащимися, студентами и преподавательским составом, направленные на укрепление общероссийской идентичности, воспитания терпимого отношения к представителям других национал</w:t>
      </w:r>
      <w:r>
        <w:rPr>
          <w:rFonts w:ascii="Times New Roman" w:hAnsi="Times New Roman"/>
          <w:sz w:val="24"/>
          <w:szCs w:val="24"/>
        </w:rPr>
        <w:t>ьностей, а так же с целью разъяснения 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несанкционированный митингах и других публичных мероприятиях. В текущем году было провед</w:t>
      </w:r>
      <w:r>
        <w:rPr>
          <w:rFonts w:ascii="Times New Roman" w:hAnsi="Times New Roman"/>
          <w:sz w:val="24"/>
          <w:szCs w:val="24"/>
        </w:rPr>
        <w:t>ено более 20 таких бесед.</w:t>
      </w:r>
    </w:p>
    <w:p w:rsidR="00DD4B90" w:rsidRDefault="00A920E5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территории обслуживания лиц сменивших вероисповедание с православного на ислам (неофитов) выявлено не было.</w:t>
      </w:r>
    </w:p>
    <w:p w:rsidR="00DD4B90" w:rsidRDefault="00A920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информации о готовящихся противоправных действиях, содержащие признаки экстремистской деятельности подгот</w:t>
      </w:r>
      <w:r>
        <w:rPr>
          <w:rFonts w:ascii="Times New Roman" w:hAnsi="Times New Roman" w:cs="Times New Roman"/>
          <w:sz w:val="24"/>
          <w:szCs w:val="24"/>
        </w:rPr>
        <w:t>авливаются материалы о вынесении Кимовской межрайонной прокуратурой предостережения о недопустимости такой деятельности.</w:t>
      </w:r>
    </w:p>
    <w:p w:rsidR="00DD4B90" w:rsidRDefault="00A920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привлечено к уголовной ответственности 4 лица некоренной национальности (из  них один выдворяется на родину за совер</w:t>
      </w:r>
      <w:r>
        <w:rPr>
          <w:rFonts w:ascii="Times New Roman" w:hAnsi="Times New Roman" w:cs="Times New Roman"/>
          <w:sz w:val="24"/>
          <w:szCs w:val="24"/>
        </w:rPr>
        <w:t>шенное преступление), к административной ответственности 83.</w:t>
      </w:r>
    </w:p>
    <w:p w:rsidR="00DD4B90" w:rsidRDefault="00A920E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 комиссия по делам несовершеннолетних и защите их прав муниципального образования Кимовский район в рамках компетенции координировала деятельность субъектов системы профилактики безна</w:t>
      </w:r>
      <w:r>
        <w:rPr>
          <w:rFonts w:ascii="Times New Roman" w:hAnsi="Times New Roman"/>
          <w:sz w:val="24"/>
          <w:szCs w:val="24"/>
        </w:rPr>
        <w:t>дзорности и правонарушений в работе по профилактике безнадзорности и правонарушений среди несовершеннолетних на территории муниципального образования Кимовский район, проводила работу по выявлению причин, способствующих безнадзорности и правонарушений сред</w:t>
      </w:r>
      <w:r>
        <w:rPr>
          <w:rFonts w:ascii="Times New Roman" w:hAnsi="Times New Roman"/>
          <w:sz w:val="24"/>
          <w:szCs w:val="24"/>
        </w:rPr>
        <w:t>и  несовершеннолетних.</w:t>
      </w:r>
    </w:p>
    <w:p w:rsidR="00DD4B90" w:rsidRDefault="00A920E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 данном направлении субъекты системы профилактики проводят в соответствии с Федеральным законом Российской Федерации №120 от 24 июня 1999 года «Об основах системы профилактики безнадзорности и правонарушений несовершеннолетни</w:t>
      </w:r>
      <w:r>
        <w:rPr>
          <w:rFonts w:ascii="Times New Roman" w:hAnsi="Times New Roman"/>
          <w:sz w:val="24"/>
          <w:szCs w:val="24"/>
        </w:rPr>
        <w:t>х».</w:t>
      </w:r>
    </w:p>
    <w:p w:rsidR="00DD4B90" w:rsidRDefault="00A920E5">
      <w:pPr>
        <w:pStyle w:val="ConsPlusTitle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2016 году  проведено 22 заседания комиссии по делам несовершеннолетних и защите их прав, на которых  рассмотрено 428 персональных дел на родителей, несовершеннолетних и взрослых лиц, 10 вопросов профилактического характера, по итогам рассмотрения при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няты постановления, осуществляется контроль за их исполнением. </w:t>
      </w:r>
    </w:p>
    <w:p w:rsidR="00DD4B90" w:rsidRDefault="00A920E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апреле, октябре 2016 года комиссией по делам несовершеннолетних и защите их прав проведены прямые линии  «Воспитание в семье без жестокости», «Защита прав и законных интересов несовершенноле</w:t>
      </w:r>
      <w:r>
        <w:rPr>
          <w:rFonts w:ascii="Times New Roman" w:hAnsi="Times New Roman"/>
          <w:sz w:val="24"/>
          <w:szCs w:val="24"/>
        </w:rPr>
        <w:t>тних».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2016 году реализованы комплексный план мероприятий по противодействию насилия в отношении несовершеннолетних, комплексные меры по профилактике беспризорности, безнадзорности и правонарушений среди несовершеннолетних на территории муниципального о</w:t>
      </w:r>
      <w:r>
        <w:rPr>
          <w:rFonts w:ascii="Times New Roman" w:hAnsi="Times New Roman"/>
          <w:sz w:val="24"/>
          <w:szCs w:val="24"/>
        </w:rPr>
        <w:t>бразования Кимовский район, план первоочередных мероприятий  до 2016 года по реализации Стратегии действий в интересах детей Тульской области на 2013-2017 года.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Проведены оперативно – профилактические мероприятия  «Подросток», «Безнадзорность»,</w:t>
      </w:r>
      <w:r>
        <w:rPr>
          <w:rFonts w:ascii="Times New Roman" w:hAnsi="Times New Roman"/>
          <w:sz w:val="24"/>
          <w:szCs w:val="24"/>
        </w:rPr>
        <w:t xml:space="preserve"> «Семья», «Быт», в ходе которых  выявлено 1  преступление по ст. 156 УК РФ. </w:t>
      </w:r>
    </w:p>
    <w:p w:rsidR="00DD4B90" w:rsidRDefault="00A920E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нескольких лет на территории муниципального образования Кимовский район проходила региональная профилактическая операция «Внимание, Дети!». Результатами операции ста</w:t>
      </w:r>
      <w:r>
        <w:rPr>
          <w:rFonts w:ascii="Times New Roman" w:hAnsi="Times New Roman"/>
          <w:sz w:val="24"/>
          <w:szCs w:val="24"/>
        </w:rPr>
        <w:t>ло внедрение эффективных механизмов взаимодействия органов местного самоуправления, учреждений системы профилактики, религиозных конфессий, средств массовой информации, родительских сообществ в области воспитания и социализации детей.</w:t>
      </w:r>
    </w:p>
    <w:p w:rsidR="00DD4B90" w:rsidRDefault="00A920E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ходе операции прово</w:t>
      </w:r>
      <w:r>
        <w:rPr>
          <w:rFonts w:ascii="Times New Roman" w:hAnsi="Times New Roman"/>
          <w:sz w:val="24"/>
          <w:szCs w:val="24"/>
        </w:rPr>
        <w:t>дилась пропаганда семейных ценностей и ответственного родительства, просветительская работа по сохранению репродуктивного здоровья подростков, распространяется информация о правах ребенка.</w:t>
      </w:r>
    </w:p>
    <w:p w:rsidR="00DD4B90" w:rsidRDefault="00A920E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принимает участие  в профилактических мероприятиях для </w:t>
      </w:r>
      <w:r>
        <w:rPr>
          <w:rFonts w:ascii="Times New Roman" w:hAnsi="Times New Roman"/>
          <w:sz w:val="24"/>
          <w:szCs w:val="24"/>
        </w:rPr>
        <w:t>несовершеннолетних на базе учреждений системы профилактики круглых столах для старшеклассников.</w:t>
      </w:r>
    </w:p>
    <w:p w:rsidR="00DD4B90" w:rsidRDefault="00A920E5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апреле и мае 2016 года 22 несовершеннолетних, находящихся в социально опасном положении, временно  были трудоустроены через Центр занятости насел</w:t>
      </w:r>
      <w:r>
        <w:rPr>
          <w:rFonts w:ascii="Times New Roman" w:hAnsi="Times New Roman"/>
          <w:sz w:val="24"/>
          <w:szCs w:val="24"/>
        </w:rPr>
        <w:t>ения города Кимовска.</w:t>
      </w:r>
    </w:p>
    <w:p w:rsidR="00DD4B90" w:rsidRDefault="00A920E5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2016 году комиссия по делам несовершеннолетних и защите их прав приняла участие в 5 вечерних рейда совместно с МО МВД РФ «Кимовский». В ходе рейдов выявлялись факты незаконной продажи спиртных напитков, табачных изделий</w:t>
      </w:r>
      <w:r>
        <w:rPr>
          <w:rFonts w:ascii="Times New Roman" w:hAnsi="Times New Roman"/>
          <w:sz w:val="24"/>
          <w:szCs w:val="24"/>
        </w:rPr>
        <w:t xml:space="preserve"> несовершеннолетним работниками торговли. По итогам  2016 года было выявлено 15 незаконных фактов продажи спиртного  несовершеннолетним (в 2015 году -15)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D4B90" w:rsidRDefault="00A920E5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 2016  году 251 несовершеннолетний, находящийся в социально опасном положении, был охваче</w:t>
      </w:r>
      <w:r>
        <w:rPr>
          <w:rFonts w:ascii="Times New Roman" w:hAnsi="Times New Roman"/>
          <w:sz w:val="24"/>
          <w:szCs w:val="24"/>
        </w:rPr>
        <w:t>н реабилитационно - профилактической работой: 38 привлечены  к занятиям в учреждениях дополнительного образования, 30- молодежи, 20 - спорта. 169 несовершеннолетним и подросткам оказана психологическая и медицинская помощь, решались вопросы их трудоустройс</w:t>
      </w:r>
      <w:r>
        <w:rPr>
          <w:rFonts w:ascii="Times New Roman" w:hAnsi="Times New Roman"/>
          <w:sz w:val="24"/>
          <w:szCs w:val="24"/>
        </w:rPr>
        <w:t>тва, отдыха,  временного помещения несовершеннолетних в центры социальной помощи,  в ГОУ ТО «Кимовская школа.</w:t>
      </w:r>
    </w:p>
    <w:p w:rsidR="00DD4B90" w:rsidRDefault="00A920E5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2016 году  комиссией совместно с комитетом образования и молодежной политики, образовательными учреждениями проводилась работа по </w:t>
      </w:r>
      <w:r>
        <w:rPr>
          <w:rFonts w:ascii="Times New Roman" w:hAnsi="Times New Roman"/>
          <w:sz w:val="24"/>
          <w:szCs w:val="24"/>
        </w:rPr>
        <w:t>выявлению несовершеннолетних, систематически пропускающих занятия в общеобразовательных учреждениях, их устройству в образовательные учреждения.</w:t>
      </w:r>
    </w:p>
    <w:p w:rsidR="00DD4B90" w:rsidRDefault="00A920E5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Комиссия ведет единый муниципальный банк данных несовершеннолетних и семей, находящихся в социально </w:t>
      </w:r>
      <w:r>
        <w:rPr>
          <w:rFonts w:ascii="Times New Roman" w:hAnsi="Times New Roman"/>
          <w:sz w:val="24"/>
          <w:szCs w:val="24"/>
        </w:rPr>
        <w:t xml:space="preserve">опасном положении, данные регулярно корректируются. Работа проводится с </w:t>
      </w:r>
      <w:r>
        <w:rPr>
          <w:rFonts w:ascii="Times New Roman" w:hAnsi="Times New Roman"/>
          <w:spacing w:val="5"/>
          <w:sz w:val="24"/>
          <w:szCs w:val="24"/>
        </w:rPr>
        <w:t xml:space="preserve">использованием  программного обеспечения АИС «Несовершеннолетние». </w:t>
      </w:r>
      <w:r>
        <w:rPr>
          <w:rFonts w:ascii="Times New Roman" w:hAnsi="Times New Roman"/>
          <w:sz w:val="24"/>
          <w:szCs w:val="24"/>
        </w:rPr>
        <w:t xml:space="preserve">На 01.01.2016 года на учете состоит 106 семей, 174 несовершеннолетних, находящихся в социально опасном положении, на </w:t>
      </w:r>
      <w:r>
        <w:rPr>
          <w:rFonts w:ascii="Times New Roman" w:hAnsi="Times New Roman"/>
          <w:sz w:val="24"/>
          <w:szCs w:val="24"/>
        </w:rPr>
        <w:t>01.01.2015 года состояло 98 семей, 177несовершеннолетних.</w:t>
      </w:r>
    </w:p>
    <w:p w:rsidR="00DD4B90" w:rsidRDefault="00A920E5">
      <w:pPr>
        <w:ind w:firstLine="526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2016 году проведено 108  межведомственных рейдов  в семьи, находящиеся в социально опасном положении, 4 вечерних рейдов в места досуга и отдыха несовершеннолетних.</w:t>
      </w:r>
    </w:p>
    <w:p w:rsidR="00DD4B90" w:rsidRDefault="00A920E5">
      <w:pPr>
        <w:ind w:firstLine="5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Во время посещения по месту жи</w:t>
      </w:r>
      <w:r>
        <w:rPr>
          <w:rFonts w:ascii="Times New Roman" w:hAnsi="Times New Roman"/>
          <w:color w:val="000000"/>
          <w:sz w:val="24"/>
          <w:szCs w:val="24"/>
        </w:rPr>
        <w:t>тельства с несовершеннолетними проводились профилактические беседы,  направленные на профилактику противоправного и девиантного поведения, родителям разъяснялась административная ответственность за ненадлежащее исполнение родительских обязанностей по воспи</w:t>
      </w:r>
      <w:r>
        <w:rPr>
          <w:rFonts w:ascii="Times New Roman" w:hAnsi="Times New Roman"/>
          <w:color w:val="000000"/>
          <w:sz w:val="24"/>
          <w:szCs w:val="24"/>
        </w:rPr>
        <w:t xml:space="preserve">танию, обучению и содержанию детей, розданы памятки «Безопасность детей в быту», Безопасность детей в летний период», «Ответственность родителей». </w:t>
      </w:r>
    </w:p>
    <w:p w:rsidR="00DD4B90" w:rsidRDefault="00A920E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 взаимодействии с отделом социальной защиты населения, МОМВД России «Кимовский», ГУТО «Социальной реабилит</w:t>
      </w:r>
      <w:r>
        <w:rPr>
          <w:rFonts w:ascii="Times New Roman" w:hAnsi="Times New Roman"/>
          <w:sz w:val="24"/>
          <w:szCs w:val="24"/>
        </w:rPr>
        <w:t xml:space="preserve">ационный центр для несовершеннолетних №3» проведены обследования  условий проживания многодетных семей, организовано социальное сопровождение вновь выявленных семей, находящихся в социально опасном положении.  </w:t>
      </w:r>
    </w:p>
    <w:p w:rsidR="00DD4B90" w:rsidRDefault="00A920E5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 семьи и несовершеннолетних, пос</w:t>
      </w:r>
      <w:r>
        <w:rPr>
          <w:rFonts w:ascii="Times New Roman" w:hAnsi="Times New Roman"/>
          <w:sz w:val="24"/>
          <w:szCs w:val="24"/>
        </w:rPr>
        <w:t>тавленных на учет в комиссии по делам несовершеннолетних и защите их прав, комиссией разработаны планы индивидуальной профилактической работы,  которые розданы субъектам системы профилактики для исполнения. Информация о ходе выполнения мероприятий направля</w:t>
      </w:r>
      <w:r>
        <w:rPr>
          <w:rFonts w:ascii="Times New Roman" w:hAnsi="Times New Roman"/>
          <w:sz w:val="24"/>
          <w:szCs w:val="24"/>
        </w:rPr>
        <w:t xml:space="preserve">ется в комиссию по делам несовершеннолетних и защите их прав 1 раз в квартал. Комиссия проводит анализ работы, вносит коррективы в планы. 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Ежемесячно в средствах массовой  информации газете «Районные будни»,  на сайте администрации муниципально</w:t>
      </w:r>
      <w:r>
        <w:rPr>
          <w:rFonts w:ascii="Times New Roman" w:hAnsi="Times New Roman"/>
          <w:sz w:val="24"/>
          <w:szCs w:val="24"/>
        </w:rPr>
        <w:t xml:space="preserve">го образования Кимовский район публикуется информация о несовершеннолетних, о причинах и условиях, способствующих асоциальному поведению несовершеннолетних, проводятся выступления на местном радио, телевидении Кимовск </w:t>
      </w:r>
      <w:r>
        <w:rPr>
          <w:rFonts w:ascii="Times New Roman" w:hAnsi="Times New Roman"/>
          <w:sz w:val="24"/>
          <w:szCs w:val="24"/>
          <w:lang w:val="en-US"/>
        </w:rPr>
        <w:t>TV</w:t>
      </w:r>
      <w:r>
        <w:rPr>
          <w:rFonts w:ascii="Times New Roman" w:hAnsi="Times New Roman"/>
          <w:sz w:val="24"/>
          <w:szCs w:val="24"/>
        </w:rPr>
        <w:t>.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На территории муниципального обр</w:t>
      </w:r>
      <w:r>
        <w:rPr>
          <w:rFonts w:ascii="Times New Roman" w:hAnsi="Times New Roman"/>
          <w:sz w:val="24"/>
          <w:szCs w:val="24"/>
        </w:rPr>
        <w:t xml:space="preserve">азования Кимовский район  по данным МО МВД России «Кимовский» несовершеннолетними было совершено по итогам 11 месяцев 2016 года – 20  преступлений, за аналогичный период 2015 года – 5.  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Исходя из результатов анализа, совершенных правонарушений </w:t>
      </w:r>
      <w:r>
        <w:rPr>
          <w:rFonts w:ascii="Times New Roman" w:hAnsi="Times New Roman"/>
          <w:sz w:val="24"/>
          <w:szCs w:val="24"/>
        </w:rPr>
        <w:t>несовершеннолетними, комиссией принимаются меры по стабилизации противоправной активности несовершеннолетних.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связи с этим, составлены и реализуются дополнительные развивающие программы «Сталкер», направленная на формирование законопослушного о</w:t>
      </w:r>
      <w:r>
        <w:rPr>
          <w:rFonts w:ascii="Times New Roman" w:hAnsi="Times New Roman"/>
          <w:sz w:val="24"/>
          <w:szCs w:val="24"/>
        </w:rPr>
        <w:t>браза жизни несовершеннолетних, программа развивающих тренинговых занятий, направленная на развитие личностных и коммуникативных функций ребенка  «Ты и я», организованы занятия в реабилитационной группе по программе «Мир, в котором я живу»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рамках </w:t>
      </w:r>
      <w:r>
        <w:rPr>
          <w:rFonts w:ascii="Times New Roman" w:hAnsi="Times New Roman"/>
          <w:sz w:val="24"/>
          <w:szCs w:val="24"/>
        </w:rPr>
        <w:t xml:space="preserve">межведомственного взаимодействия организуются и проводятся профилактические операции «Семья», «Подросток», «Внимание! Дети». </w:t>
      </w:r>
    </w:p>
    <w:p w:rsidR="00DD4B90" w:rsidRDefault="00A920E5">
      <w:pPr>
        <w:pStyle w:val="a7"/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профилактики совершения повторных правонарушений среди несовершеннолетних комиссией организована поездка для подростков, н</w:t>
      </w:r>
      <w:r>
        <w:rPr>
          <w:sz w:val="24"/>
          <w:szCs w:val="24"/>
        </w:rPr>
        <w:t>аходящихся в конфликте с законом,  на  экскурсию в центр временного содержания для несовершеннолетних правонарушителей УМВД по Тульской области, организована встреча с учащимися образовательного учреждения «Мои права и ответственность перед законом».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С целью привлечения институтов гражданского  общества к активному участию в решении проблем детского и семейного неблагополучия комиссией проведены круглые столы  «От семейного неблагополучия к ответственному родительству, защищенному детству…», «Фак</w:t>
      </w:r>
      <w:r>
        <w:rPr>
          <w:rFonts w:ascii="Times New Roman" w:hAnsi="Times New Roman"/>
          <w:sz w:val="24"/>
          <w:szCs w:val="24"/>
        </w:rPr>
        <w:t xml:space="preserve">торы, влияющие на рост семейного неблагополучия»  с представителями комитетов территориального общественного самоуправления, совместные заседания Кимовского местного отделения общественной организации «Союз женщин России». В </w:t>
      </w:r>
      <w:r>
        <w:rPr>
          <w:rFonts w:ascii="Times New Roman" w:hAnsi="Times New Roman"/>
          <w:sz w:val="24"/>
          <w:szCs w:val="24"/>
        </w:rPr>
        <w:lastRenderedPageBreak/>
        <w:t>ходе проведения «круглых столов</w:t>
      </w:r>
      <w:r>
        <w:rPr>
          <w:rFonts w:ascii="Times New Roman" w:hAnsi="Times New Roman"/>
          <w:sz w:val="24"/>
          <w:szCs w:val="24"/>
        </w:rPr>
        <w:t>» разработаны совместные мероприятия по данному направлению (проведение совместных рейдов в семьи, участие в мероприятиях, организация шефства над семьями, находящимися в социально опасном положении, оказание им материальной помощи).</w:t>
      </w:r>
    </w:p>
    <w:p w:rsidR="00DD4B90" w:rsidRDefault="00A920E5">
      <w:pPr>
        <w:shd w:val="clear" w:color="auto" w:fill="FFFFFF"/>
        <w:ind w:left="110" w:firstLine="4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Органами и учреждениям</w:t>
      </w:r>
      <w:r>
        <w:rPr>
          <w:rFonts w:ascii="Times New Roman" w:hAnsi="Times New Roman"/>
          <w:sz w:val="24"/>
          <w:szCs w:val="24"/>
        </w:rPr>
        <w:t>и системы профилактики в пределах своей компетенции  проводятся с несовершеннолетними классные часы «Азбука права», «Как стать обязательным человеком», «Государство и наши права», «Гражданин и государство», «Правовая ответственность человека», «Права и обя</w:t>
      </w:r>
      <w:r>
        <w:rPr>
          <w:rFonts w:ascii="Times New Roman" w:hAnsi="Times New Roman"/>
          <w:sz w:val="24"/>
          <w:szCs w:val="24"/>
        </w:rPr>
        <w:t>занности человека», «Что такое правовая культура»,  беседы «Наши права», «Добро и зло. Причины наших поступков», «Что значит жить по правилам», «Преступность в современном мире», круглые столы  «Чтобы не было беды», «Почему дети и родители не всегда понима</w:t>
      </w:r>
      <w:r>
        <w:rPr>
          <w:rFonts w:ascii="Times New Roman" w:hAnsi="Times New Roman"/>
          <w:sz w:val="24"/>
          <w:szCs w:val="24"/>
        </w:rPr>
        <w:t>ют друг друга», «Равенство прав людей от рождения», дискуссия «Можно ли быть свободным без ответственности», заседание Совета профилактики правонарушений «Твои права и обязанности», встречи «Твоя уличная компания. Как попадают в преступную группу», «Разъяс</w:t>
      </w:r>
      <w:r>
        <w:rPr>
          <w:rFonts w:ascii="Times New Roman" w:hAnsi="Times New Roman"/>
          <w:sz w:val="24"/>
          <w:szCs w:val="24"/>
        </w:rPr>
        <w:t xml:space="preserve">нение уголовного, гражданского, административного законодательства под девизом «Здоровый образ жизни молодежи – высшая ценность общества». </w:t>
      </w:r>
    </w:p>
    <w:p w:rsidR="00DD4B90" w:rsidRDefault="00A920E5">
      <w:pPr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Органами и учреждениями системы профилактики, в том числе комиссией разработаны рекомендации для родителей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«Что делать, если в дом пришла беда», «Ответственность родителей», «Административная и уголовная ответственность несовершеннолетних»,  которые розданы населению.</w:t>
      </w:r>
    </w:p>
    <w:tbl>
      <w:tblPr>
        <w:tblW w:w="10605" w:type="dxa"/>
        <w:tblInd w:w="-9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3316"/>
        <w:gridCol w:w="2340"/>
        <w:gridCol w:w="2344"/>
        <w:gridCol w:w="2605"/>
      </w:tblGrid>
      <w:tr w:rsidR="00DD4B90">
        <w:tc>
          <w:tcPr>
            <w:tcW w:w="3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D4B90" w:rsidRDefault="00A92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D4B90" w:rsidRDefault="00A920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запланированные на 2016 год тыс/руб</w:t>
            </w:r>
          </w:p>
        </w:tc>
        <w:tc>
          <w:tcPr>
            <w:tcW w:w="2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D4B90" w:rsidRDefault="00A920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израсходованные в 2016 году тыс/руб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D4B90" w:rsidRDefault="00A920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D4B90">
        <w:tc>
          <w:tcPr>
            <w:tcW w:w="3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D4B90" w:rsidRDefault="00A920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 Осуществление работы по внедрению на территории муниципального образования Кимовский район комплексной информационной аналитической системы «Безопасный город»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D4B90" w:rsidRDefault="00A920E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113374</w:t>
            </w:r>
          </w:p>
        </w:tc>
        <w:tc>
          <w:tcPr>
            <w:tcW w:w="2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D4B90" w:rsidRDefault="00A920E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29550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D4B90" w:rsidRDefault="00DD4B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90">
        <w:tc>
          <w:tcPr>
            <w:tcW w:w="3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D4B90" w:rsidRDefault="00A920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8.9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комплексной системы экстренного оповещения населения (КСЭОН) на базе единой диспетчерской службы муниципального образования Кимовский район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D4B90" w:rsidRDefault="00A920E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181100</w:t>
            </w:r>
          </w:p>
        </w:tc>
        <w:tc>
          <w:tcPr>
            <w:tcW w:w="2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D4B90" w:rsidRDefault="00A920E5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161910-83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DD4B90" w:rsidRDefault="00A920E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D4B90" w:rsidRDefault="00DD4B90">
      <w:p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4B90" w:rsidRDefault="00DD4B90">
      <w:p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3" w:type="dxa"/>
        <w:tblInd w:w="-885" w:type="dxa"/>
        <w:tblLook w:val="04A0"/>
      </w:tblPr>
      <w:tblGrid>
        <w:gridCol w:w="3115"/>
        <w:gridCol w:w="5673"/>
        <w:gridCol w:w="1845"/>
      </w:tblGrid>
      <w:tr w:rsidR="00DD4B90">
        <w:tc>
          <w:tcPr>
            <w:tcW w:w="3115" w:type="dxa"/>
            <w:shd w:val="clear" w:color="auto" w:fill="auto"/>
          </w:tcPr>
          <w:p w:rsidR="00DD4B90" w:rsidRDefault="00A920E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5673" w:type="dxa"/>
            <w:shd w:val="clear" w:color="auto" w:fill="auto"/>
          </w:tcPr>
          <w:p w:rsidR="00DD4B90" w:rsidRDefault="00A92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выполнения</w:t>
            </w:r>
          </w:p>
        </w:tc>
        <w:tc>
          <w:tcPr>
            <w:tcW w:w="1845" w:type="dxa"/>
            <w:shd w:val="clear" w:color="auto" w:fill="auto"/>
          </w:tcPr>
          <w:p w:rsidR="00DD4B90" w:rsidRDefault="00A92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Причина невыполнения</w:t>
            </w:r>
          </w:p>
        </w:tc>
      </w:tr>
      <w:tr w:rsidR="00DD4B90">
        <w:tc>
          <w:tcPr>
            <w:tcW w:w="3115" w:type="dxa"/>
            <w:shd w:val="clear" w:color="auto" w:fill="auto"/>
          </w:tcPr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Организация оздоровления детей, в том числе детей, находящихся в социально опасном положении, в </w:t>
            </w:r>
          </w:p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-лагерях труда и отдыха</w:t>
            </w:r>
          </w:p>
        </w:tc>
        <w:tc>
          <w:tcPr>
            <w:tcW w:w="5673" w:type="dxa"/>
            <w:shd w:val="clear" w:color="auto" w:fill="auto"/>
          </w:tcPr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июне 2016 года было трудоустроено в ЛТО 133 подростка на базе 7 школ города и района, в том числе 52 человека, находящиеся в тру</w:t>
            </w:r>
            <w:r>
              <w:rPr>
                <w:rFonts w:ascii="Times New Roman" w:hAnsi="Times New Roman"/>
                <w:sz w:val="24"/>
                <w:szCs w:val="24"/>
              </w:rPr>
              <w:t>дной жизненной ситуации.</w:t>
            </w:r>
          </w:p>
        </w:tc>
        <w:tc>
          <w:tcPr>
            <w:tcW w:w="1845" w:type="dxa"/>
            <w:shd w:val="clear" w:color="auto" w:fill="auto"/>
          </w:tcPr>
          <w:p w:rsidR="00DD4B90" w:rsidRDefault="00DD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90">
        <w:tc>
          <w:tcPr>
            <w:tcW w:w="3115" w:type="dxa"/>
            <w:shd w:val="clear" w:color="auto" w:fill="auto"/>
          </w:tcPr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 Ярмарки учебных и рабочих мест</w:t>
            </w:r>
          </w:p>
        </w:tc>
        <w:tc>
          <w:tcPr>
            <w:tcW w:w="5673" w:type="dxa"/>
            <w:shd w:val="clear" w:color="auto" w:fill="auto"/>
          </w:tcPr>
          <w:p w:rsidR="00DD4B90" w:rsidRDefault="00A9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11.03.2016 г. в ЦЗН г. Кимовска была проведена ярмарка учебных мест, в которой приняли участие 200 учащихся из 12 средних общеобразовательных школ. За 2016 год было проведено 16 ярмарок рабочих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мест, в которых приняли участие 393 человека, что составило 145% и 112% соответственно от контрольных показателей. Результатом стало трудоустройство на постоянные и временные места 100  человек.</w:t>
            </w:r>
          </w:p>
        </w:tc>
        <w:tc>
          <w:tcPr>
            <w:tcW w:w="1845" w:type="dxa"/>
            <w:shd w:val="clear" w:color="auto" w:fill="auto"/>
          </w:tcPr>
          <w:p w:rsidR="00DD4B90" w:rsidRDefault="00DD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90">
        <w:tc>
          <w:tcPr>
            <w:tcW w:w="3115" w:type="dxa"/>
            <w:shd w:val="clear" w:color="auto" w:fill="auto"/>
          </w:tcPr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 Оказание содействия подросткам в трудоустройстве  с у</w:t>
            </w:r>
            <w:r>
              <w:rPr>
                <w:rFonts w:ascii="Times New Roman" w:hAnsi="Times New Roman"/>
                <w:sz w:val="24"/>
                <w:szCs w:val="24"/>
              </w:rPr>
              <w:t>четом требований ТК РФ путем:</w:t>
            </w:r>
          </w:p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организации временных рабочих мест и рабочих бригад на базе образовательных учреждений и предприятий различных форм собственности</w:t>
            </w:r>
          </w:p>
        </w:tc>
        <w:tc>
          <w:tcPr>
            <w:tcW w:w="5673" w:type="dxa"/>
            <w:shd w:val="clear" w:color="auto" w:fill="auto"/>
          </w:tcPr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 году было трудоустроено на временные работы 232 подростка, в том числе:</w:t>
            </w:r>
          </w:p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базе образ</w:t>
            </w:r>
            <w:r>
              <w:rPr>
                <w:rFonts w:ascii="Times New Roman" w:hAnsi="Times New Roman"/>
                <w:sz w:val="24"/>
                <w:szCs w:val="24"/>
              </w:rPr>
              <w:t>овательных учреждений трудились 133 человека;</w:t>
            </w:r>
          </w:p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базе подростково-молодежного центра «Мечта» - 99 человек.</w:t>
            </w:r>
          </w:p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показатели выполнены на 193,3% (план 120 человек).</w:t>
            </w:r>
          </w:p>
        </w:tc>
        <w:tc>
          <w:tcPr>
            <w:tcW w:w="1845" w:type="dxa"/>
            <w:shd w:val="clear" w:color="auto" w:fill="auto"/>
          </w:tcPr>
          <w:p w:rsidR="00DD4B90" w:rsidRDefault="00DD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90">
        <w:tc>
          <w:tcPr>
            <w:tcW w:w="3115" w:type="dxa"/>
            <w:shd w:val="clear" w:color="auto" w:fill="auto"/>
          </w:tcPr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 Организация и проведение уроков профориентации «Выбор профессии» в ходе </w:t>
            </w:r>
            <w:r>
              <w:rPr>
                <w:rFonts w:ascii="Times New Roman" w:hAnsi="Times New Roman"/>
                <w:sz w:val="24"/>
                <w:szCs w:val="24"/>
              </w:rPr>
              <w:t>месячника старшеклассника</w:t>
            </w:r>
          </w:p>
        </w:tc>
        <w:tc>
          <w:tcPr>
            <w:tcW w:w="5673" w:type="dxa"/>
            <w:shd w:val="clear" w:color="auto" w:fill="auto"/>
          </w:tcPr>
          <w:p w:rsidR="00DD4B90" w:rsidRDefault="00A9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январе-феврале 2016 года для учащихся образовательных учреждений общего образования было проведено 4 урока профориентации «Сделай правильный выбор» для 71 старшеклассника.</w:t>
            </w:r>
          </w:p>
          <w:p w:rsidR="00DD4B90" w:rsidRDefault="00A9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18 воспитанников ГОУ ТО «Кимовская  школа» 17 марта </w:t>
            </w:r>
            <w:r>
              <w:rPr>
                <w:rFonts w:ascii="Times New Roman" w:hAnsi="Times New Roman"/>
                <w:sz w:val="24"/>
                <w:szCs w:val="24"/>
              </w:rPr>
              <w:t>2016 года была проведена встреча «Профессиональные ориентиры».</w:t>
            </w:r>
          </w:p>
        </w:tc>
        <w:tc>
          <w:tcPr>
            <w:tcW w:w="1845" w:type="dxa"/>
            <w:shd w:val="clear" w:color="auto" w:fill="auto"/>
          </w:tcPr>
          <w:p w:rsidR="00DD4B90" w:rsidRDefault="00DD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90">
        <w:tc>
          <w:tcPr>
            <w:tcW w:w="3115" w:type="dxa"/>
            <w:shd w:val="clear" w:color="auto" w:fill="auto"/>
          </w:tcPr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3.17. Оказание государственной услуги по профессиональной ориентации гражданам, Информирование граждан о ситуации на рынке труда</w:t>
            </w:r>
          </w:p>
        </w:tc>
        <w:tc>
          <w:tcPr>
            <w:tcW w:w="5673" w:type="dxa"/>
            <w:shd w:val="clear" w:color="auto" w:fill="auto"/>
          </w:tcPr>
          <w:p w:rsidR="00DD4B90" w:rsidRDefault="00A9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государственную услугу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по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t>ориентации получили 658 человек, что составляет 102 % от государственного задания (648 человек).</w:t>
            </w:r>
          </w:p>
          <w:p w:rsidR="00DD4B90" w:rsidRDefault="00A9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информированию граждан о ситуации на рынке труда получили 1216 человек или 100,9% от годового задания (1205 человек). В газете «Районные будни» за 20</w:t>
            </w:r>
            <w:r>
              <w:rPr>
                <w:rFonts w:ascii="Times New Roman" w:hAnsi="Times New Roman"/>
                <w:sz w:val="24"/>
                <w:szCs w:val="24"/>
              </w:rPr>
              <w:t>16 год было представлено 14 публикаций, 5 репортажей на телевидении. 4 апреля 2016 года на расширенном аппаратном совещании в администрации МО Кимовский район  выступила начальник ЦЗН г. Кимовска «Временное трудоустройство как форма занятости на рынке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а». 18 марта 2016 года местное телевидение выпустило в эфир репортаж, снятый в центре занятости о прошедшей ярмарке учебных мест, 29 апреля о 25-летии службы занятости, 10 июня -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временной занятости подростков, 05 августа на расширенном аппа</w:t>
            </w:r>
            <w:r>
              <w:rPr>
                <w:rFonts w:ascii="Times New Roman" w:hAnsi="Times New Roman"/>
                <w:sz w:val="24"/>
                <w:szCs w:val="24"/>
              </w:rPr>
              <w:t>ратном совещании в администрации МО Кимовский район  выступила начальник ЦЗН г. Кимовска «О ходе реализации программы Общественных работ на территории Кимовского района»</w:t>
            </w:r>
          </w:p>
        </w:tc>
        <w:tc>
          <w:tcPr>
            <w:tcW w:w="1845" w:type="dxa"/>
            <w:shd w:val="clear" w:color="auto" w:fill="auto"/>
          </w:tcPr>
          <w:p w:rsidR="00DD4B90" w:rsidRDefault="00DD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90">
        <w:tc>
          <w:tcPr>
            <w:tcW w:w="3115" w:type="dxa"/>
            <w:shd w:val="clear" w:color="auto" w:fill="auto"/>
          </w:tcPr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3.18. Оказание государственной услуги по психологической поддержке безработных гражд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</w:p>
        </w:tc>
        <w:tc>
          <w:tcPr>
            <w:tcW w:w="5673" w:type="dxa"/>
            <w:shd w:val="clear" w:color="auto" w:fill="auto"/>
          </w:tcPr>
          <w:p w:rsidR="00DD4B90" w:rsidRDefault="00A9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Государственную услугу по психологической поддержке получили 34 безработных гражданина или 100% государственного задания. 18 февраля и 19 апреля проведены психологические тренинги личностного роста «Перезагрузка».</w:t>
            </w:r>
          </w:p>
        </w:tc>
        <w:tc>
          <w:tcPr>
            <w:tcW w:w="1845" w:type="dxa"/>
            <w:shd w:val="clear" w:color="auto" w:fill="auto"/>
          </w:tcPr>
          <w:p w:rsidR="00DD4B90" w:rsidRDefault="00DD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90">
        <w:tc>
          <w:tcPr>
            <w:tcW w:w="3115" w:type="dxa"/>
            <w:shd w:val="clear" w:color="auto" w:fill="auto"/>
          </w:tcPr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3.19. Сбор и анализ информации о </w:t>
            </w:r>
            <w:r>
              <w:rPr>
                <w:rFonts w:ascii="Times New Roman" w:hAnsi="Times New Roman"/>
                <w:sz w:val="24"/>
                <w:szCs w:val="24"/>
              </w:rPr>
              <w:t>привлечении иностранных граждан для работы в организациях района</w:t>
            </w:r>
          </w:p>
        </w:tc>
        <w:tc>
          <w:tcPr>
            <w:tcW w:w="5673" w:type="dxa"/>
            <w:shd w:val="clear" w:color="auto" w:fill="auto"/>
          </w:tcPr>
          <w:p w:rsidR="00DD4B90" w:rsidRDefault="00A9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 одна организация Кимовского района не подала заявку на получение квоты на привлечение иностранных граждан для работы. С 1 января 2015 года в России изменился порядок привлечения иностранно</w:t>
            </w:r>
            <w:r>
              <w:rPr>
                <w:rFonts w:ascii="Times New Roman" w:hAnsi="Times New Roman"/>
                <w:sz w:val="24"/>
                <w:szCs w:val="24"/>
              </w:rPr>
              <w:t>й рабочей силы - мигранты из безвизовых стран больше не подпадают под действие квот для иностранцев.</w:t>
            </w:r>
          </w:p>
        </w:tc>
        <w:tc>
          <w:tcPr>
            <w:tcW w:w="1845" w:type="dxa"/>
            <w:shd w:val="clear" w:color="auto" w:fill="auto"/>
          </w:tcPr>
          <w:p w:rsidR="00DD4B90" w:rsidRDefault="00DD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90">
        <w:tc>
          <w:tcPr>
            <w:tcW w:w="3115" w:type="dxa"/>
            <w:shd w:val="clear" w:color="auto" w:fill="auto"/>
          </w:tcPr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3.20. Оказание государственной услуги по социальной адаптации </w:t>
            </w:r>
          </w:p>
        </w:tc>
        <w:tc>
          <w:tcPr>
            <w:tcW w:w="5673" w:type="dxa"/>
            <w:shd w:val="clear" w:color="auto" w:fill="auto"/>
          </w:tcPr>
          <w:p w:rsidR="00DD4B90" w:rsidRDefault="00A9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Государственную услугу по социальной адаптации получили 67 человек, что составляет 197%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государственного задания на год (34 человека).</w:t>
            </w:r>
          </w:p>
        </w:tc>
        <w:tc>
          <w:tcPr>
            <w:tcW w:w="1845" w:type="dxa"/>
            <w:shd w:val="clear" w:color="auto" w:fill="auto"/>
          </w:tcPr>
          <w:p w:rsidR="00DD4B90" w:rsidRDefault="00DD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90">
        <w:tc>
          <w:tcPr>
            <w:tcW w:w="3115" w:type="dxa"/>
            <w:shd w:val="clear" w:color="auto" w:fill="auto"/>
          </w:tcPr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4.21. Определение мест для трудоустройства несовершеннолетних, из специальных учебно-воспитательных учреждений закрытого типа, освобожденных из мест лишения свободы, а также после выпуска из детских домов</w:t>
            </w:r>
          </w:p>
        </w:tc>
        <w:tc>
          <w:tcPr>
            <w:tcW w:w="5673" w:type="dxa"/>
            <w:shd w:val="clear" w:color="auto" w:fill="auto"/>
          </w:tcPr>
          <w:p w:rsidR="00DD4B90" w:rsidRDefault="00A9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феврале 2016 года была проведена паспортизация 16 предприятий и организаций Кимовского района для организации временного трудоустройства несовершеннолетних граждан.</w:t>
            </w:r>
          </w:p>
        </w:tc>
        <w:tc>
          <w:tcPr>
            <w:tcW w:w="1845" w:type="dxa"/>
            <w:shd w:val="clear" w:color="auto" w:fill="auto"/>
          </w:tcPr>
          <w:p w:rsidR="00DD4B90" w:rsidRDefault="00DD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90">
        <w:tc>
          <w:tcPr>
            <w:tcW w:w="3115" w:type="dxa"/>
            <w:shd w:val="clear" w:color="auto" w:fill="auto"/>
          </w:tcPr>
          <w:p w:rsidR="00DD4B90" w:rsidRDefault="00A92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4.29. Информирование филиала по Кимовскому району ФКУ УИН УФСИН России по Тульской облас</w:t>
            </w:r>
            <w:r>
              <w:rPr>
                <w:rFonts w:ascii="Times New Roman" w:hAnsi="Times New Roman"/>
                <w:sz w:val="24"/>
                <w:szCs w:val="24"/>
              </w:rPr>
              <w:t>ти о вакансиях и возможности профобучения, о регистрации осужденныз в ЦЗН</w:t>
            </w:r>
          </w:p>
        </w:tc>
        <w:tc>
          <w:tcPr>
            <w:tcW w:w="5673" w:type="dxa"/>
            <w:shd w:val="clear" w:color="auto" w:fill="auto"/>
          </w:tcPr>
          <w:p w:rsidR="00DD4B90" w:rsidRDefault="00A92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центр занятости направляет в филиал по Кимовскому району ФКУ УИН УФСИН России по Тульской области перечень имеющихся вакансий, профессий, по которым возможно пройти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профессиональное обучение, порядок регистрации в ЦЗН.</w:t>
            </w:r>
          </w:p>
        </w:tc>
        <w:tc>
          <w:tcPr>
            <w:tcW w:w="1845" w:type="dxa"/>
            <w:shd w:val="clear" w:color="auto" w:fill="auto"/>
          </w:tcPr>
          <w:p w:rsidR="00DD4B90" w:rsidRDefault="00DD4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B90" w:rsidRDefault="00DD4B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B90" w:rsidRDefault="00A920E5">
      <w:pPr>
        <w:shd w:val="clear" w:color="auto" w:fill="FFFFFF"/>
        <w:ind w:right="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целях организации работы по профилактике преступлений, совершенных в отношении детей и подростков родителями или иными законными представителями, а также другими лицами, проживающими совместно с </w:t>
      </w:r>
      <w:r>
        <w:rPr>
          <w:rFonts w:ascii="Times New Roman" w:hAnsi="Times New Roman"/>
          <w:bCs/>
          <w:sz w:val="24"/>
          <w:szCs w:val="24"/>
        </w:rPr>
        <w:t>несовершеннолетними, с</w:t>
      </w:r>
      <w:r>
        <w:rPr>
          <w:rFonts w:ascii="Times New Roman" w:hAnsi="Times New Roman"/>
          <w:sz w:val="24"/>
          <w:szCs w:val="24"/>
        </w:rPr>
        <w:t>огласно плану отдела образования ежегодно в образовательных учреждениях проводятся месячники: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сентябрь-октябрь «Месячник правовой грамотности учащихся»  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октябрь-ноябрь «Месячник профилактики безнадзорности, беспризорности и пр</w:t>
      </w:r>
      <w:r>
        <w:rPr>
          <w:rFonts w:ascii="Times New Roman" w:hAnsi="Times New Roman"/>
          <w:sz w:val="24"/>
          <w:szCs w:val="24"/>
        </w:rPr>
        <w:t xml:space="preserve">авонарушений учащихся»  </w:t>
      </w:r>
    </w:p>
    <w:p w:rsidR="00DD4B90" w:rsidRDefault="00A920E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ноябрь-декабрь «Месячник профилактики злоупотребления спиртосодержащей продукцией, табакокурения, психоактивными веществами в образовательной среде, пропаганде здорового образа жизни».</w:t>
      </w:r>
    </w:p>
    <w:p w:rsidR="00DD4B90" w:rsidRDefault="00A920E5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ходе месячников проводятся классные часы,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руглые столы, дискуссии,</w:t>
      </w:r>
      <w:r>
        <w:rPr>
          <w:rFonts w:ascii="Times New Roman" w:hAnsi="Times New Roman"/>
          <w:sz w:val="24"/>
          <w:szCs w:val="24"/>
        </w:rPr>
        <w:t xml:space="preserve"> психологические тренинги,</w:t>
      </w:r>
      <w:r>
        <w:rPr>
          <w:rFonts w:ascii="Times New Roman" w:hAnsi="Times New Roman"/>
          <w:bCs/>
          <w:spacing w:val="-11"/>
          <w:sz w:val="24"/>
          <w:szCs w:val="24"/>
        </w:rPr>
        <w:t xml:space="preserve"> книжные  выставки,</w:t>
      </w:r>
      <w:r>
        <w:rPr>
          <w:rFonts w:ascii="Times New Roman" w:hAnsi="Times New Roman"/>
          <w:sz w:val="24"/>
          <w:szCs w:val="24"/>
        </w:rPr>
        <w:t xml:space="preserve"> тематические встречи </w:t>
      </w:r>
      <w:r>
        <w:rPr>
          <w:rFonts w:ascii="Times New Roman" w:hAnsi="Times New Roman"/>
          <w:spacing w:val="-2"/>
          <w:sz w:val="24"/>
          <w:szCs w:val="24"/>
        </w:rPr>
        <w:t>совместно</w:t>
      </w:r>
      <w:r>
        <w:rPr>
          <w:rFonts w:ascii="Times New Roman" w:hAnsi="Times New Roman"/>
          <w:spacing w:val="-1"/>
          <w:sz w:val="24"/>
          <w:szCs w:val="24"/>
        </w:rPr>
        <w:t xml:space="preserve"> с инспекторами по делам </w:t>
      </w:r>
      <w:r>
        <w:rPr>
          <w:rFonts w:ascii="Times New Roman" w:hAnsi="Times New Roman"/>
          <w:sz w:val="24"/>
          <w:szCs w:val="24"/>
        </w:rPr>
        <w:t>несовершеннолетних</w:t>
      </w:r>
      <w:r>
        <w:rPr>
          <w:rFonts w:ascii="Times New Roman" w:hAnsi="Times New Roman"/>
          <w:spacing w:val="-1"/>
          <w:sz w:val="24"/>
          <w:szCs w:val="24"/>
        </w:rPr>
        <w:t>, закрепленных за школами, классные родительские собрания по соответствующей тематике.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D4B90" w:rsidRDefault="00A920E5">
      <w:pPr>
        <w:shd w:val="clear" w:color="auto" w:fill="FFFFFF"/>
        <w:spacing w:line="25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образовательных орган</w:t>
      </w:r>
      <w:r>
        <w:rPr>
          <w:rFonts w:ascii="Times New Roman" w:hAnsi="Times New Roman"/>
          <w:color w:val="000000" w:themeColor="text1"/>
          <w:sz w:val="24"/>
          <w:szCs w:val="24"/>
        </w:rPr>
        <w:t>изациях работают Советы по профилактике правонарушений среди обучающихся. Вопросы, выносимые на рассмотрение  заседаний Советов, позволяют  анализировать ситуацию в образовательной организации и организовать индивидуальную профилактическую работу с детьми.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Сведения  из образовательных организаций о семьях группы «риска»  и семьях, находящихся в социально опасном положении,  своевременно направляются в комиссию,  орган опеки и попечительства, сектор социальной защиты, ПДН для принятия необходимых мер, направ</w:t>
      </w:r>
      <w:r>
        <w:rPr>
          <w:rFonts w:ascii="Times New Roman" w:hAnsi="Times New Roman"/>
          <w:color w:val="000000" w:themeColor="text1"/>
          <w:sz w:val="24"/>
          <w:szCs w:val="24"/>
        </w:rPr>
        <w:t>ленных на реабилитацию семьи.</w:t>
      </w:r>
    </w:p>
    <w:p w:rsidR="00DD4B90" w:rsidRDefault="00A920E5">
      <w:pPr>
        <w:shd w:val="clear" w:color="auto" w:fill="FFFFFF"/>
        <w:jc w:val="both"/>
      </w:pPr>
      <w:r>
        <w:rPr>
          <w:rFonts w:ascii="Times New Roman" w:eastAsia="Calibri" w:hAnsi="Times New Roman"/>
          <w:color w:val="FF0000"/>
          <w:sz w:val="24"/>
          <w:szCs w:val="24"/>
        </w:rPr>
        <w:t xml:space="preserve">      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Одним из наиболее важных факторов профилактики  </w:t>
      </w:r>
      <w:r>
        <w:rPr>
          <w:rStyle w:val="apple-style-span"/>
          <w:rFonts w:ascii="Times New Roman" w:eastAsia="Calibri" w:hAnsi="Times New Roman"/>
          <w:color w:val="000000" w:themeColor="text1"/>
          <w:sz w:val="24"/>
          <w:szCs w:val="24"/>
        </w:rPr>
        <w:t>безнадзорности, правонарушений несовершеннолетними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является занятость учащихся в свободное время, поэтому в образовательных учреждениях    большое внимание уделяется разви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тию системы дополнительного образования, а также пропаганде здорового образа жизни. </w:t>
      </w:r>
    </w:p>
    <w:p w:rsidR="00DD4B90" w:rsidRDefault="00A920E5">
      <w:pPr>
        <w:ind w:firstLine="567"/>
        <w:jc w:val="both"/>
      </w:pPr>
      <w:r>
        <w:rPr>
          <w:rStyle w:val="ft7010"/>
          <w:rFonts w:ascii="Times New Roman" w:eastAsia="Calibri" w:hAnsi="Times New Roman"/>
          <w:color w:val="000000"/>
          <w:spacing w:val="13"/>
          <w:sz w:val="24"/>
          <w:szCs w:val="24"/>
        </w:rPr>
        <w:t>В соответствии с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Style w:val="ft7047"/>
          <w:rFonts w:ascii="Times New Roman" w:eastAsia="Calibri" w:hAnsi="Times New Roman"/>
          <w:color w:val="000000"/>
          <w:spacing w:val="16"/>
          <w:sz w:val="24"/>
          <w:szCs w:val="24"/>
        </w:rPr>
        <w:t>календарем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Style w:val="ft7083"/>
          <w:rFonts w:ascii="Times New Roman" w:eastAsia="Calibri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Style w:val="ft7128"/>
          <w:rFonts w:ascii="Times New Roman" w:eastAsia="Calibri" w:hAnsi="Times New Roman"/>
          <w:color w:val="000000"/>
          <w:spacing w:val="18"/>
          <w:sz w:val="24"/>
          <w:szCs w:val="24"/>
        </w:rPr>
        <w:t>массовых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Style w:val="ft7175"/>
          <w:rFonts w:ascii="Times New Roman" w:eastAsia="Calibri" w:hAnsi="Times New Roman"/>
          <w:color w:val="000000"/>
          <w:spacing w:val="16"/>
          <w:sz w:val="24"/>
          <w:szCs w:val="24"/>
        </w:rPr>
        <w:t>мероприятий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Style w:val="ft7218"/>
          <w:rFonts w:ascii="Times New Roman" w:eastAsia="Calibri" w:hAnsi="Times New Roman"/>
          <w:color w:val="000000"/>
          <w:spacing w:val="18"/>
          <w:sz w:val="24"/>
          <w:szCs w:val="24"/>
        </w:rPr>
        <w:t>ежегодно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Style w:val="ft735"/>
          <w:rFonts w:ascii="Times New Roman" w:eastAsia="Calibri" w:hAnsi="Times New Roman"/>
          <w:color w:val="000000"/>
          <w:sz w:val="24"/>
          <w:szCs w:val="24"/>
        </w:rPr>
        <w:t>с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Style w:val="ft7233"/>
          <w:rFonts w:ascii="Times New Roman" w:eastAsia="Calibri" w:hAnsi="Times New Roman"/>
          <w:color w:val="000000"/>
          <w:spacing w:val="17"/>
          <w:sz w:val="24"/>
          <w:szCs w:val="24"/>
        </w:rPr>
        <w:t>обучающимися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Style w:val="ft7278"/>
          <w:rFonts w:ascii="Times New Roman" w:eastAsia="Calibri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Style w:val="ft2107"/>
          <w:rFonts w:ascii="Times New Roman" w:eastAsia="Calibri" w:hAnsi="Times New Roman"/>
          <w:color w:val="000000"/>
          <w:sz w:val="24"/>
          <w:szCs w:val="24"/>
        </w:rPr>
        <w:t>на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Style w:val="ft7328"/>
          <w:rFonts w:ascii="Times New Roman" w:eastAsia="Calibri" w:hAnsi="Times New Roman"/>
          <w:color w:val="000000"/>
          <w:spacing w:val="16"/>
          <w:sz w:val="24"/>
          <w:szCs w:val="24"/>
        </w:rPr>
        <w:t>районном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Style w:val="ft7373"/>
          <w:rFonts w:ascii="Times New Roman" w:eastAsia="Calibri" w:hAnsi="Times New Roman"/>
          <w:color w:val="000000"/>
          <w:spacing w:val="19"/>
          <w:sz w:val="24"/>
          <w:szCs w:val="24"/>
        </w:rPr>
        <w:t>уровне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Style w:val="ft7418"/>
          <w:rFonts w:ascii="Times New Roman" w:eastAsia="Calibri" w:hAnsi="Times New Roman"/>
          <w:color w:val="000000"/>
          <w:spacing w:val="16"/>
          <w:sz w:val="24"/>
          <w:szCs w:val="24"/>
        </w:rPr>
        <w:t>проводятся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Style w:val="ft7457"/>
          <w:rFonts w:ascii="Times New Roman" w:eastAsia="Calibri" w:hAnsi="Times New Roman"/>
          <w:color w:val="000000"/>
          <w:spacing w:val="13"/>
          <w:sz w:val="24"/>
          <w:szCs w:val="24"/>
        </w:rPr>
        <w:t xml:space="preserve">  спортивно-массовые мероприятия:</w:t>
      </w:r>
    </w:p>
    <w:p w:rsidR="00DD4B90" w:rsidRDefault="00A920E5">
      <w:pPr>
        <w:numPr>
          <w:ilvl w:val="0"/>
          <w:numId w:val="1"/>
        </w:numPr>
        <w:ind w:left="540" w:hanging="180"/>
        <w:jc w:val="both"/>
      </w:pPr>
      <w:r>
        <w:rPr>
          <w:rStyle w:val="ft7457"/>
          <w:rFonts w:ascii="Times New Roman" w:eastAsia="Calibri" w:hAnsi="Times New Roman"/>
          <w:color w:val="000000"/>
          <w:spacing w:val="13"/>
          <w:sz w:val="24"/>
          <w:szCs w:val="24"/>
        </w:rPr>
        <w:t xml:space="preserve">соревнования по лёгкой атлетике   </w:t>
      </w:r>
      <w:r>
        <w:rPr>
          <w:rFonts w:ascii="Times New Roman" w:eastAsia="Calibri" w:hAnsi="Times New Roman"/>
          <w:sz w:val="24"/>
          <w:szCs w:val="24"/>
        </w:rPr>
        <w:t xml:space="preserve">«Шиповка юных»;  соревнования по футболу, волейболу;  </w:t>
      </w:r>
    </w:p>
    <w:p w:rsidR="00DD4B90" w:rsidRDefault="00A920E5">
      <w:pPr>
        <w:numPr>
          <w:ilvl w:val="0"/>
          <w:numId w:val="1"/>
        </w:numPr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соревнования  по зимнему полиатлону среди допризывной молодежи МО Кимовский район; </w:t>
      </w:r>
    </w:p>
    <w:p w:rsidR="00DD4B90" w:rsidRDefault="00A920E5">
      <w:pPr>
        <w:numPr>
          <w:ilvl w:val="0"/>
          <w:numId w:val="1"/>
        </w:numPr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спортивные соревнования «Спорт вместо наркотиков»;   </w:t>
      </w:r>
    </w:p>
    <w:p w:rsidR="00DD4B90" w:rsidRDefault="00A920E5">
      <w:pPr>
        <w:numPr>
          <w:ilvl w:val="0"/>
          <w:numId w:val="1"/>
        </w:numPr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лыжные соревнования на приз г</w:t>
      </w:r>
      <w:r>
        <w:rPr>
          <w:rFonts w:ascii="Times New Roman" w:eastAsia="Calibri" w:hAnsi="Times New Roman"/>
          <w:sz w:val="24"/>
          <w:szCs w:val="24"/>
        </w:rPr>
        <w:t xml:space="preserve">енерал-майора Карпинского; </w:t>
      </w:r>
    </w:p>
    <w:p w:rsidR="00DD4B90" w:rsidRDefault="00A920E5">
      <w:pPr>
        <w:numPr>
          <w:ilvl w:val="0"/>
          <w:numId w:val="1"/>
        </w:numPr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военно-спортивная игра «Ради жизни на Земле»; </w:t>
      </w:r>
    </w:p>
    <w:p w:rsidR="00DD4B90" w:rsidRDefault="00A920E5">
      <w:pPr>
        <w:numPr>
          <w:ilvl w:val="0"/>
          <w:numId w:val="1"/>
        </w:numPr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городские </w:t>
      </w:r>
      <w:r>
        <w:rPr>
          <w:rFonts w:ascii="Times New Roman" w:eastAsia="Calibri" w:hAnsi="Times New Roman"/>
          <w:spacing w:val="-1"/>
          <w:sz w:val="24"/>
          <w:szCs w:val="24"/>
        </w:rPr>
        <w:t xml:space="preserve">соревнования допризывников; </w:t>
      </w:r>
    </w:p>
    <w:p w:rsidR="00DD4B90" w:rsidRDefault="00A920E5">
      <w:pPr>
        <w:numPr>
          <w:ilvl w:val="0"/>
          <w:numId w:val="1"/>
        </w:numPr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pacing w:val="-1"/>
          <w:sz w:val="24"/>
          <w:szCs w:val="24"/>
        </w:rPr>
        <w:t xml:space="preserve">лёгко-атлетические соревнования на приз генерал-майора Лебедева </w:t>
      </w:r>
      <w:r>
        <w:rPr>
          <w:rFonts w:ascii="Times New Roman" w:eastAsia="Calibri" w:hAnsi="Times New Roman"/>
          <w:sz w:val="24"/>
          <w:szCs w:val="24"/>
        </w:rPr>
        <w:t xml:space="preserve">В.П.; </w:t>
      </w:r>
    </w:p>
    <w:p w:rsidR="00DD4B90" w:rsidRDefault="00A920E5">
      <w:pPr>
        <w:numPr>
          <w:ilvl w:val="0"/>
          <w:numId w:val="1"/>
        </w:numPr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pacing w:val="-1"/>
          <w:sz w:val="24"/>
          <w:szCs w:val="24"/>
        </w:rPr>
        <w:t xml:space="preserve">лёгко-атлетическая </w:t>
      </w:r>
      <w:r>
        <w:rPr>
          <w:rFonts w:ascii="Times New Roman" w:eastAsia="Calibri" w:hAnsi="Times New Roman"/>
          <w:sz w:val="24"/>
          <w:szCs w:val="24"/>
        </w:rPr>
        <w:t xml:space="preserve"> эстафета по улицам города. </w:t>
      </w:r>
    </w:p>
    <w:p w:rsidR="00DD4B90" w:rsidRDefault="00A920E5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В целях раннего </w:t>
      </w:r>
      <w:r>
        <w:rPr>
          <w:rFonts w:ascii="Times New Roman" w:hAnsi="Times New Roman"/>
          <w:color w:val="000000" w:themeColor="text1"/>
          <w:sz w:val="24"/>
          <w:szCs w:val="24"/>
        </w:rPr>
        <w:t>выявления употребления наркотических и психотропных веществ среди обучающихся образовательных организаций Кимовского района Тульской области проведено социально-психологическое тестирование. Общее число обучающихся, прошедших тестирование – 664.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ab/>
        <w:t xml:space="preserve"> Два раза</w:t>
      </w:r>
      <w:r>
        <w:rPr>
          <w:rFonts w:ascii="Times New Roman" w:eastAsia="Calibri" w:hAnsi="Times New Roman"/>
          <w:sz w:val="24"/>
          <w:szCs w:val="24"/>
        </w:rPr>
        <w:t xml:space="preserve"> в год в октябре (на начало учебного года) и марте (на конец учебн</w:t>
      </w:r>
      <w:r>
        <w:rPr>
          <w:rFonts w:ascii="Times New Roman" w:hAnsi="Times New Roman"/>
          <w:sz w:val="24"/>
          <w:szCs w:val="24"/>
        </w:rPr>
        <w:t>ого года) отдел образования</w:t>
      </w:r>
      <w:r>
        <w:rPr>
          <w:rFonts w:ascii="Times New Roman" w:eastAsia="Calibri" w:hAnsi="Times New Roman"/>
          <w:sz w:val="24"/>
          <w:szCs w:val="24"/>
        </w:rPr>
        <w:t xml:space="preserve"> собирает сведения от общеобразовательных учреждений (форма 1-НД) о детях, не посещающих занятия, и детях, часто пропускающих занятия, о работе общеобразовательног</w:t>
      </w:r>
      <w:r>
        <w:rPr>
          <w:rFonts w:ascii="Times New Roman" w:eastAsia="Calibri" w:hAnsi="Times New Roman"/>
          <w:sz w:val="24"/>
          <w:szCs w:val="24"/>
        </w:rPr>
        <w:t>о учреждения с этими детьми и их родителями. Помимо этого общеобразовательные учреждения предоставляют ежеквартально сведения об учащихся прибывших и выбывших из общеобразовательного учреждения и информацию о соблюдении статьи в части отчисления и исключен</w:t>
      </w:r>
      <w:r>
        <w:rPr>
          <w:rFonts w:ascii="Times New Roman" w:eastAsia="Calibri" w:hAnsi="Times New Roman"/>
          <w:sz w:val="24"/>
          <w:szCs w:val="24"/>
        </w:rPr>
        <w:t>ия из общеобразовательного учреждения.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Ежегодно ведется сбор сведений о внеурочной занятости детей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.   Формируется план работы по профилактике безнадзорности и правонарушений на учебный год, основу которого составляют планы работ образовательных уч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реждений. </w:t>
      </w:r>
      <w:r>
        <w:rPr>
          <w:rFonts w:ascii="Times New Roman" w:eastAsia="Calibri" w:hAnsi="Times New Roman"/>
          <w:sz w:val="24"/>
          <w:szCs w:val="24"/>
        </w:rPr>
        <w:t xml:space="preserve"> Постоянно держатся на контроле вопросы сохранения контингента обучающихся, осуществления индивидуального подхода к учащимся, склонным к уклонению от учёбы, соблюдения прав ребёнка. Эти вопросы являются постоянными для обсуждения на совещаниях с руководите</w:t>
      </w:r>
      <w:r>
        <w:rPr>
          <w:rFonts w:ascii="Times New Roman" w:eastAsia="Calibri" w:hAnsi="Times New Roman"/>
          <w:sz w:val="24"/>
          <w:szCs w:val="24"/>
        </w:rPr>
        <w:t>лями образовательных учреждений и находятся на контроле при посещении школ специ</w:t>
      </w:r>
      <w:r>
        <w:rPr>
          <w:rFonts w:ascii="Times New Roman" w:hAnsi="Times New Roman"/>
          <w:sz w:val="24"/>
          <w:szCs w:val="24"/>
        </w:rPr>
        <w:t>алистами отдела образования</w:t>
      </w:r>
      <w:r>
        <w:rPr>
          <w:rFonts w:ascii="Times New Roman" w:eastAsia="Calibri" w:hAnsi="Times New Roman"/>
          <w:sz w:val="24"/>
          <w:szCs w:val="24"/>
        </w:rPr>
        <w:t>. Ведётся систематическая и согласованная работа с главами городских и сельских поселений по учёту прибывших и убывающих детей школьного возраста и о</w:t>
      </w:r>
      <w:r>
        <w:rPr>
          <w:rFonts w:ascii="Times New Roman" w:eastAsia="Calibri" w:hAnsi="Times New Roman"/>
          <w:sz w:val="24"/>
          <w:szCs w:val="24"/>
        </w:rPr>
        <w:t>казанию помощи школе в работе с детьми и семьями детей, систематически пропускающими занятия в школе. С учащимися и родителями ведётся постоянная работа:</w:t>
      </w:r>
    </w:p>
    <w:p w:rsidR="00DD4B90" w:rsidRDefault="00A920E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индивидуальные беседы;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регулярное посещение на дому с целью выяснения местонахождения ребёнка в уч</w:t>
      </w:r>
      <w:r>
        <w:rPr>
          <w:rFonts w:ascii="Times New Roman" w:eastAsia="Calibri" w:hAnsi="Times New Roman"/>
          <w:sz w:val="24"/>
          <w:szCs w:val="24"/>
        </w:rPr>
        <w:t>ебное и вечернее время;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вызовы родителей в школу;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консультации с социальными педагогами и психологами общеобразовательных учреждений;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составление учителями предметниками графиков индивидуальных занятий для ликвидации пробелов в знаниях;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совместная </w:t>
      </w:r>
      <w:r>
        <w:rPr>
          <w:rFonts w:ascii="Times New Roman" w:eastAsia="Calibri" w:hAnsi="Times New Roman"/>
          <w:sz w:val="24"/>
          <w:szCs w:val="24"/>
        </w:rPr>
        <w:t>работа с ОВД по Кимовскому району, комиссией по делам несовершеннолетних и защите их прав, участковыми полицейскими, главами поселений;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посещение родительских собраний работниками администрации МО Кимовский район и администрации городских и сельских посе</w:t>
      </w:r>
      <w:r>
        <w:rPr>
          <w:rFonts w:ascii="Times New Roman" w:eastAsia="Calibri" w:hAnsi="Times New Roman"/>
          <w:sz w:val="24"/>
          <w:szCs w:val="24"/>
        </w:rPr>
        <w:t>лений, правоохранительных органов, отдела внутренних дел по Кимовскому району.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Общеобразовательные учреждения Кимовского района проводят работу по профилактике безнадзорности и правонарушений по следующим направлениям: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    - Оказание социально</w:t>
      </w:r>
      <w:r>
        <w:rPr>
          <w:rFonts w:ascii="Times New Roman" w:eastAsia="Calibri" w:hAnsi="Times New Roman"/>
          <w:sz w:val="24"/>
          <w:szCs w:val="24"/>
        </w:rPr>
        <w:t>-психологической и педагогической помощи несовершеннолетним, имеющим отклонения в развитии или поведении, либо проблемы в обучении.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     - Выявление несовершеннолетних, находящихся в социально опасном  положении, а также не посещающих или систематически пр</w:t>
      </w:r>
      <w:r>
        <w:rPr>
          <w:rFonts w:ascii="Times New Roman" w:eastAsia="Calibri" w:hAnsi="Times New Roman"/>
          <w:sz w:val="24"/>
          <w:szCs w:val="24"/>
        </w:rPr>
        <w:t>опускающих по неуважительным причинам занятия в образовательных учреждениях, принятие мер  по их воспитанию и получению ими основного общего образования.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     - Выявление семей, находящихся в социально опасном положении, и оказание им помощи в обучении и в</w:t>
      </w:r>
      <w:r>
        <w:rPr>
          <w:rFonts w:ascii="Times New Roman" w:eastAsia="Calibri" w:hAnsi="Times New Roman"/>
          <w:sz w:val="24"/>
          <w:szCs w:val="24"/>
        </w:rPr>
        <w:t>оспитании детей.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    - Организация в образовательных учреждениях общедоступных  спортивных секций, технических и иных кружков, клубов и привлечение к участию в них несовершеннолетних.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    - Осуществление мер  по реализации программ и методик, направленных </w:t>
      </w:r>
      <w:r>
        <w:rPr>
          <w:rFonts w:ascii="Times New Roman" w:eastAsia="Calibri" w:hAnsi="Times New Roman"/>
          <w:sz w:val="24"/>
          <w:szCs w:val="24"/>
        </w:rPr>
        <w:t>на формирование законопослушного поведения несовершеннолетних.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местах, доступных для детей и родителей, вывешены выдержки из текстов уставов образовательных учреждений, адреса и телефоны организаций, к компетенции которых относится охрана и за</w:t>
      </w:r>
      <w:r>
        <w:rPr>
          <w:rFonts w:ascii="Times New Roman" w:hAnsi="Times New Roman"/>
          <w:sz w:val="24"/>
          <w:szCs w:val="24"/>
        </w:rPr>
        <w:t>щита прав детей.</w:t>
      </w:r>
    </w:p>
    <w:p w:rsidR="00DD4B90" w:rsidRDefault="00A920E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учениками и их родителями, допускающими пропуски учебных занятий без уважительной причины, ведется индивидуальная работа психологами, социальными педагогами, органами самоуправления школ, советами профилактики, комиссией по  делам несове</w:t>
      </w:r>
      <w:r>
        <w:rPr>
          <w:rFonts w:ascii="Times New Roman" w:hAnsi="Times New Roman"/>
          <w:sz w:val="24"/>
          <w:szCs w:val="24"/>
        </w:rPr>
        <w:t>ршеннолетних и защите их прав.</w:t>
      </w:r>
    </w:p>
    <w:p w:rsidR="00DD4B90" w:rsidRDefault="00A920E5">
      <w:pPr>
        <w:tabs>
          <w:tab w:val="left" w:pos="0"/>
        </w:tabs>
        <w:ind w:left="357" w:firstLine="21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 1  сентября   по  15  октября  2016 года  в образовательных учреждениях прошла</w:t>
      </w:r>
    </w:p>
    <w:p w:rsidR="00DD4B90" w:rsidRDefault="00A920E5">
      <w:pPr>
        <w:tabs>
          <w:tab w:val="left" w:pos="0"/>
        </w:tabs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профилактическая   операция   «Школа  безопасности».   Цель  операции  –  </w:t>
      </w:r>
      <w:r>
        <w:rPr>
          <w:rFonts w:ascii="Times New Roman" w:hAnsi="Times New Roman"/>
          <w:sz w:val="24"/>
          <w:szCs w:val="24"/>
        </w:rPr>
        <w:t>профилактика жестокого обращения с детьми, формирование ответственног</w:t>
      </w:r>
      <w:r>
        <w:rPr>
          <w:rFonts w:ascii="Times New Roman" w:hAnsi="Times New Roman"/>
          <w:sz w:val="24"/>
          <w:szCs w:val="24"/>
        </w:rPr>
        <w:t xml:space="preserve">о родительства, </w:t>
      </w:r>
      <w:r>
        <w:rPr>
          <w:rFonts w:ascii="Times New Roman" w:hAnsi="Times New Roman"/>
          <w:bCs/>
          <w:sz w:val="24"/>
          <w:szCs w:val="24"/>
        </w:rPr>
        <w:t>активизация</w:t>
      </w:r>
    </w:p>
    <w:p w:rsidR="00DD4B90" w:rsidRDefault="00A920E5">
      <w:pPr>
        <w:tabs>
          <w:tab w:val="left" w:pos="0"/>
        </w:tabs>
        <w:ind w:left="357" w:hanging="3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деятельности   по   предупреждению   преступлений   против   жизни,   здоровья,   половой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неприкосновенности несовершеннолетних, пропаганда ценности семьи.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4B90" w:rsidRDefault="00A920E5">
      <w:pPr>
        <w:shd w:val="clear" w:color="auto" w:fill="FFFFFF"/>
        <w:ind w:left="110" w:firstLine="4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образовательных учреждениях проведены следующие мероприятия: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размещены информационные материалы по вопросам соблюдения и защиты прав, свобод и законных интересов детей на информационных стендах и сайтах общеобразовательных учреждений; </w:t>
      </w:r>
    </w:p>
    <w:p w:rsidR="00DD4B90" w:rsidRDefault="00A920E5">
      <w:pPr>
        <w:shd w:val="clear" w:color="auto" w:fill="FFFFFF"/>
        <w:ind w:left="110" w:hanging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 с учащимися о функционировании телефонов доверия и психологической слу</w:t>
      </w:r>
      <w:r>
        <w:rPr>
          <w:rFonts w:ascii="Times New Roman" w:hAnsi="Times New Roman"/>
          <w:sz w:val="24"/>
          <w:szCs w:val="24"/>
        </w:rPr>
        <w:t>жбе помощи «Принцип работы телефона доверия», «Ситуации, заставляющие нас позвонить по телефону доверия»;</w:t>
      </w:r>
    </w:p>
    <w:p w:rsidR="00DD4B90" w:rsidRDefault="00A920E5">
      <w:pPr>
        <w:shd w:val="clear" w:color="auto" w:fill="FFFFFF"/>
        <w:ind w:left="110" w:hanging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классные часы «Азбука права», «Человек среди людей: гражданская ответственность», «Как стать обязательным человеком», «Государство и наши права», «Г</w:t>
      </w:r>
      <w:r>
        <w:rPr>
          <w:rFonts w:ascii="Times New Roman" w:hAnsi="Times New Roman"/>
          <w:sz w:val="24"/>
          <w:szCs w:val="24"/>
        </w:rPr>
        <w:t>ражданин и государство», «Правовая ответственность человека», «Я – гражданин России», «Права и обязанности человека», «Что такое правовая культура» и т.п.;</w:t>
      </w:r>
    </w:p>
    <w:p w:rsidR="00DD4B90" w:rsidRDefault="00A920E5">
      <w:pPr>
        <w:shd w:val="clear" w:color="auto" w:fill="FFFFFF"/>
        <w:ind w:left="110" w:hanging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 «Знатоки права», «Сказка ложь, да в ней намек», «Путешествие в страну Законию», «Знаете ли вы</w:t>
      </w:r>
      <w:r>
        <w:rPr>
          <w:rFonts w:ascii="Times New Roman" w:hAnsi="Times New Roman"/>
          <w:sz w:val="24"/>
          <w:szCs w:val="24"/>
        </w:rPr>
        <w:t xml:space="preserve"> закон»;</w:t>
      </w:r>
    </w:p>
    <w:p w:rsidR="00DD4B90" w:rsidRDefault="00A920E5">
      <w:pPr>
        <w:shd w:val="clear" w:color="auto" w:fill="FFFFFF"/>
        <w:ind w:left="110" w:hanging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беседы «Наши права», «Добро и зло. Причины наших поступков», «Что значит жить по правилам», «Преступность в современном мире»;</w:t>
      </w:r>
    </w:p>
    <w:p w:rsidR="00DD4B90" w:rsidRDefault="00A920E5">
      <w:pPr>
        <w:shd w:val="clear" w:color="auto" w:fill="FFFFFF"/>
        <w:ind w:left="110" w:hanging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круглые столы  «Чтобы не было беды», «Почему дети и родители не всегда понимают друг друга», «Равенство прав людей о</w:t>
      </w:r>
      <w:r>
        <w:rPr>
          <w:rFonts w:ascii="Times New Roman" w:hAnsi="Times New Roman"/>
          <w:sz w:val="24"/>
          <w:szCs w:val="24"/>
        </w:rPr>
        <w:t>т рождения»;</w:t>
      </w:r>
    </w:p>
    <w:p w:rsidR="00DD4B90" w:rsidRDefault="00A920E5">
      <w:pPr>
        <w:shd w:val="clear" w:color="auto" w:fill="FFFFFF"/>
        <w:ind w:left="110" w:hanging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дискуссия «Можно ли быть свободным без ответственности»;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родительские собрания «Права участников образовательного процесса», «Права и обязанности родителей по воспитанию и образованию детей»,  «Профилактика жестокости и агрессии в семьях»,</w:t>
      </w:r>
      <w:r>
        <w:rPr>
          <w:rFonts w:ascii="Times New Roman" w:hAnsi="Times New Roman"/>
          <w:sz w:val="24"/>
          <w:szCs w:val="24"/>
        </w:rPr>
        <w:t xml:space="preserve"> «Здоровье наших детей»;</w:t>
      </w:r>
    </w:p>
    <w:p w:rsidR="00DD4B90" w:rsidRDefault="00A920E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тестирование учащихся «Способны ли вы отстаивать свои права?»;</w:t>
      </w:r>
    </w:p>
    <w:p w:rsidR="00DD4B90" w:rsidRDefault="00A920E5">
      <w:pPr>
        <w:shd w:val="clear" w:color="auto" w:fill="FFFFFF"/>
        <w:ind w:left="110" w:hanging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заседание Совета профилактики правонарушений «Твои права и обязанности»;</w:t>
      </w:r>
    </w:p>
    <w:p w:rsidR="00DD4B90" w:rsidRDefault="00A920E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конкурс рисунков «Я рисую счастье»;</w:t>
      </w:r>
    </w:p>
    <w:p w:rsidR="00DD4B90" w:rsidRDefault="00A920E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анкетирование «Что я знаю о своих правах и ответств</w:t>
      </w:r>
      <w:r>
        <w:rPr>
          <w:rFonts w:ascii="Times New Roman" w:hAnsi="Times New Roman"/>
          <w:sz w:val="24"/>
          <w:szCs w:val="24"/>
        </w:rPr>
        <w:t>енности»;</w:t>
      </w:r>
    </w:p>
    <w:p w:rsidR="00DD4B90" w:rsidRDefault="00A920E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рейды в семьи находящиеся в социально-опасном положении;</w:t>
      </w:r>
    </w:p>
    <w:p w:rsidR="00DD4B90" w:rsidRDefault="00A920E5">
      <w:pPr>
        <w:widowControl w:val="0"/>
        <w:tabs>
          <w:tab w:val="left" w:pos="26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встречи с работниками правоохранительных органов «Твоя уличная компания. Как попадают в преступную группу», «Я законопослушный гражданин», «Разъяснение уголовного, гражданского, админис</w:t>
      </w:r>
      <w:r>
        <w:rPr>
          <w:rFonts w:ascii="Times New Roman" w:hAnsi="Times New Roman"/>
          <w:sz w:val="24"/>
          <w:szCs w:val="24"/>
        </w:rPr>
        <w:t>тративного законодательства под девизом «Здоровый образ жизни молодежи – высшая ценность общества»;</w:t>
      </w:r>
    </w:p>
    <w:p w:rsidR="00DD4B90" w:rsidRDefault="00A920E5">
      <w:pPr>
        <w:shd w:val="clear" w:color="auto" w:fill="FFFFFF"/>
        <w:ind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лекция «Правовая защита семьи и семейных отношений».</w:t>
      </w:r>
    </w:p>
    <w:p w:rsidR="00DD4B90" w:rsidRDefault="00A920E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Большое значение отводится профилактической работе, в которую вовлечены обучающиеся, их родители и </w:t>
      </w:r>
      <w:r>
        <w:rPr>
          <w:rFonts w:ascii="Times New Roman" w:hAnsi="Times New Roman"/>
          <w:sz w:val="24"/>
          <w:szCs w:val="24"/>
        </w:rPr>
        <w:t>педагоги.</w:t>
      </w:r>
    </w:p>
    <w:p w:rsidR="00DD4B90" w:rsidRDefault="00A920E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Педагогами-психологами проводятся:</w:t>
      </w:r>
    </w:p>
    <w:p w:rsidR="00DD4B90" w:rsidRDefault="00A920E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обучающимися:</w:t>
      </w:r>
    </w:p>
    <w:p w:rsidR="00DD4B90" w:rsidRDefault="00A920E5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занятия с элементами тренинга, тематические классные часы на темы: «Дружба», «Познай себя», «Сделай себя сам», «Я и мои друзья», «Научи себя учиться», «Утверждай себя», «Хочешь быть счастливым? Будь им!». Перечисленные выше занятия помогают снятию эмоцион</w:t>
      </w:r>
      <w:r>
        <w:rPr>
          <w:rFonts w:ascii="Times New Roman" w:hAnsi="Times New Roman"/>
          <w:sz w:val="24"/>
          <w:szCs w:val="24"/>
        </w:rPr>
        <w:t>ального напряжения, выработке уверенного поведения, обучают навыкам самовоспитания.</w:t>
      </w:r>
    </w:p>
    <w:p w:rsidR="00DD4B90" w:rsidRDefault="00A920E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родителями</w:t>
      </w:r>
      <w:r>
        <w:rPr>
          <w:rFonts w:ascii="Times New Roman" w:hAnsi="Times New Roman"/>
          <w:sz w:val="24"/>
          <w:szCs w:val="24"/>
        </w:rPr>
        <w:t>:</w:t>
      </w:r>
    </w:p>
    <w:p w:rsidR="00DD4B90" w:rsidRDefault="00A920E5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лекции на темы: «Психологические особенности возраста», «Как поддержать ребенка», «Основные ресурсы и возрастные задачи развития тинейджеров», «Мотивация к </w:t>
      </w:r>
      <w:r>
        <w:rPr>
          <w:rFonts w:ascii="Times New Roman" w:hAnsi="Times New Roman"/>
          <w:sz w:val="24"/>
          <w:szCs w:val="24"/>
        </w:rPr>
        <w:t xml:space="preserve">обучению»; </w:t>
      </w:r>
    </w:p>
    <w:p w:rsidR="00DD4B90" w:rsidRDefault="00A920E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педагогами</w:t>
      </w:r>
      <w:r>
        <w:rPr>
          <w:rFonts w:ascii="Times New Roman" w:hAnsi="Times New Roman"/>
          <w:sz w:val="24"/>
          <w:szCs w:val="24"/>
        </w:rPr>
        <w:t>:</w:t>
      </w:r>
    </w:p>
    <w:p w:rsidR="00DD4B90" w:rsidRDefault="00A920E5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педагогических советах  отрабатывают приемы, позволяющие проявлять свою эмоциональную гибкость в ситуациях педагогического взаимодействия с </w:t>
      </w:r>
      <w:r>
        <w:rPr>
          <w:rFonts w:ascii="Times New Roman" w:hAnsi="Times New Roman"/>
          <w:sz w:val="24"/>
          <w:szCs w:val="24"/>
        </w:rPr>
        <w:lastRenderedPageBreak/>
        <w:t>обучающимися, развивают коммуникативные навыки конструктивного общения, актуализируют</w:t>
      </w:r>
      <w:r>
        <w:rPr>
          <w:rFonts w:ascii="Times New Roman" w:hAnsi="Times New Roman"/>
          <w:sz w:val="24"/>
          <w:szCs w:val="24"/>
        </w:rPr>
        <w:t xml:space="preserve"> личный опыт в общении с детьми. </w:t>
      </w:r>
    </w:p>
    <w:p w:rsidR="00DD4B90" w:rsidRDefault="00A920E5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обеспечения антитеррористической защищенности обучающихся на в 2016 году установлено ограждение в следующих образовательных организациях:</w:t>
      </w:r>
    </w:p>
    <w:p w:rsidR="00DD4B90" w:rsidRDefault="00A920E5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МКОУ «СОШ № 7» имени Николая Викторовича Кордюкова;</w:t>
      </w:r>
    </w:p>
    <w:p w:rsidR="00DD4B90" w:rsidRDefault="00A920E5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МКОУ Вишневская СОШ;</w:t>
      </w:r>
    </w:p>
    <w:p w:rsidR="00DD4B90" w:rsidRDefault="00A920E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МКОУ Новольвовская СОШ.</w:t>
      </w:r>
    </w:p>
    <w:p w:rsidR="00DD4B90" w:rsidRDefault="00DD4B90">
      <w:pPr>
        <w:spacing w:after="0" w:line="240" w:lineRule="auto"/>
        <w:ind w:left="720"/>
        <w:jc w:val="both"/>
        <w:rPr>
          <w:rFonts w:cs="Times New Roman"/>
          <w:b/>
        </w:rPr>
      </w:pPr>
    </w:p>
    <w:p w:rsidR="00DD4B90" w:rsidRDefault="00A92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D4B90">
          <w:pgSz w:w="11906" w:h="16838"/>
          <w:pgMar w:top="1134" w:right="850" w:bottom="1276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>Запланированный на 2016 год объем финансирования мероприятия п. 8.8 «Ремонт и восстановление ограждения территорий муниципальных образовательных учреждений 1100000 руб., а фактический объем финансирования соста</w:t>
      </w:r>
      <w:r>
        <w:rPr>
          <w:rFonts w:ascii="Times New Roman" w:hAnsi="Times New Roman" w:cs="Times New Roman"/>
          <w:sz w:val="24"/>
          <w:szCs w:val="24"/>
        </w:rPr>
        <w:t>вил 815377 рублей 74 копейки, из них: Вишневская СОШ — 100000 руб., Новольвовская СОШ — 208000 руб., МОУ СОШ № 7 — 507377 рублей 74 копейки.</w:t>
      </w:r>
    </w:p>
    <w:p w:rsidR="00DD4B90" w:rsidRDefault="00A92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2 «Противодействие злоупотреблению наркотиками и их незаконному обороту»</w:t>
      </w:r>
    </w:p>
    <w:tbl>
      <w:tblPr>
        <w:tblW w:w="16314" w:type="dxa"/>
        <w:tblInd w:w="-95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30" w:type="dxa"/>
          <w:right w:w="75" w:type="dxa"/>
        </w:tblCellMar>
        <w:tblLook w:val="0000"/>
      </w:tblPr>
      <w:tblGrid>
        <w:gridCol w:w="429"/>
        <w:gridCol w:w="1752"/>
        <w:gridCol w:w="442"/>
        <w:gridCol w:w="395"/>
        <w:gridCol w:w="427"/>
        <w:gridCol w:w="423"/>
        <w:gridCol w:w="395"/>
        <w:gridCol w:w="395"/>
        <w:gridCol w:w="710"/>
        <w:gridCol w:w="917"/>
        <w:gridCol w:w="970"/>
        <w:gridCol w:w="615"/>
        <w:gridCol w:w="541"/>
        <w:gridCol w:w="482"/>
        <w:gridCol w:w="589"/>
        <w:gridCol w:w="589"/>
        <w:gridCol w:w="395"/>
        <w:gridCol w:w="724"/>
        <w:gridCol w:w="795"/>
        <w:gridCol w:w="744"/>
        <w:gridCol w:w="520"/>
        <w:gridCol w:w="69"/>
        <w:gridCol w:w="947"/>
        <w:gridCol w:w="948"/>
        <w:gridCol w:w="589"/>
        <w:gridCol w:w="589"/>
        <w:gridCol w:w="910"/>
        <w:gridCol w:w="905"/>
      </w:tblGrid>
      <w:tr w:rsidR="00DD4B90">
        <w:trPr>
          <w:trHeight w:val="766"/>
        </w:trPr>
        <w:tc>
          <w:tcPr>
            <w:tcW w:w="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мероприятий, целевых показателей</w:t>
            </w:r>
          </w:p>
        </w:tc>
        <w:tc>
          <w:tcPr>
            <w:tcW w:w="21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в абсолютном выражении или % (муниципальных программ/мероприятий)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eastAsianLayout w:id="1379191040" w:vert="1"/>
              </w:rPr>
              <w:t xml:space="preserve">Код бюджетной классификации </w:t>
            </w:r>
            <w:hyperlink w:anchor="Par1263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eastAsianLayout w:id="1379191041" w:vert="1"/>
                </w:rPr>
                <w:t>&lt;2&gt;</w:t>
              </w:r>
            </w:hyperlink>
          </w:p>
        </w:tc>
        <w:tc>
          <w:tcPr>
            <w:tcW w:w="924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тыс. руб. </w:t>
            </w:r>
            <w:hyperlink w:anchor="Par1265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&lt;4&gt;</w:t>
              </w:r>
            </w:hyperlink>
          </w:p>
        </w:tc>
      </w:tr>
      <w:tr w:rsidR="00DD4B90">
        <w:trPr>
          <w:trHeight w:val="620"/>
        </w:trPr>
        <w:tc>
          <w:tcPr>
            <w:tcW w:w="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должностного лица</w:t>
            </w:r>
          </w:p>
        </w:tc>
        <w:tc>
          <w:tcPr>
            <w:tcW w:w="5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eastAsianLayout w:id="1379191042" w:vert="1"/>
              </w:rPr>
              <w:t xml:space="preserve">Плановое значение </w:t>
            </w:r>
            <w:hyperlink w:anchor="Par1262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eastAsianLayout w:id="1379191043" w:vert="1"/>
                </w:rPr>
                <w:t>&lt;1&gt;</w:t>
              </w:r>
            </w:hyperlink>
          </w:p>
        </w:tc>
        <w:tc>
          <w:tcPr>
            <w:tcW w:w="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показателя, достигнутое за отчетный период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расходы, тыс. руб. </w:t>
            </w:r>
            <w:hyperlink w:anchor="Par1262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</w:p>
        </w:tc>
        <w:tc>
          <w:tcPr>
            <w:tcW w:w="592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из других источников, тыс. руб.</w:t>
            </w:r>
          </w:p>
        </w:tc>
      </w:tr>
      <w:tr w:rsidR="00DD4B90">
        <w:trPr>
          <w:trHeight w:val="620"/>
        </w:trPr>
        <w:tc>
          <w:tcPr>
            <w:tcW w:w="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на </w:t>
            </w:r>
          </w:p>
        </w:tc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на 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обязательства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  <w:hyperlink w:anchor="Par1262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Тульской области, тыс. руб. </w:t>
            </w:r>
            <w:hyperlink w:anchor="Par1262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</w:tr>
      <w:tr w:rsidR="00DD4B90">
        <w:trPr>
          <w:trHeight w:val="930"/>
        </w:trPr>
        <w:tc>
          <w:tcPr>
            <w:tcW w:w="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внебюджетные фонды </w:t>
            </w:r>
            <w:hyperlink w:anchor="Par1262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платных услуг </w:t>
            </w:r>
            <w:hyperlink w:anchor="Par1262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источники финансирования </w:t>
            </w:r>
            <w:hyperlink w:anchor="Par1262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</w:tr>
      <w:tr w:rsidR="00DD4B90">
        <w:trPr>
          <w:trHeight w:val="139"/>
        </w:trPr>
        <w:tc>
          <w:tcPr>
            <w:tcW w:w="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DD4B90">
        <w:trPr>
          <w:trHeight w:val="139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D4B90">
        <w:trPr>
          <w:cantSplit/>
          <w:trHeight w:hRule="exact" w:val="6024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DD4B90" w:rsidRDefault="00DD4B9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</w:tcPr>
          <w:p w:rsidR="00DD4B90" w:rsidRDefault="00A920E5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ействие злоупотреблению наркотиками и их незаконному обороту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DD4B90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B90" w:rsidRDefault="00A920E5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Лебедева Людмила Георгиевна</w:t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Начальник сектора по спорту и молодёжной политике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(48735) 5-92-10,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kimmoladm@mail.ru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28.04.2014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1.12.2020</w:t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DD4B90">
        <w:trPr>
          <w:trHeight w:val="139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DD4B90" w:rsidRDefault="00A920E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больных наркоманией, в отчетном периоде к уровню 2012 года</w:t>
            </w:r>
          </w:p>
          <w:p w:rsidR="00DD4B90" w:rsidRDefault="00DD4B9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28.04.2014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1.12.2020</w:t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D4B90">
        <w:trPr>
          <w:trHeight w:val="139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DD4B90" w:rsidRDefault="00A920E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ошение количества лиц с впервые установленным диагнозом «наркомания» в отчетном периоде к уровню 2012 года</w:t>
            </w:r>
          </w:p>
          <w:p w:rsidR="00DD4B90" w:rsidRDefault="00DD4B9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28.04.2014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1.12.2020</w:t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D4B90">
        <w:trPr>
          <w:trHeight w:val="2667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DD4B90" w:rsidRDefault="00A920E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DD4B90" w:rsidRDefault="00A920E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льный вес молодёжи в возрасте от 14 до 30 лет, принимающей участие в тематических мероприятиях различной направленности 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28.04.2014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textDirection w:val="btLr"/>
            <w:vAlign w:val="center"/>
          </w:tcPr>
          <w:p w:rsidR="00DD4B90" w:rsidRDefault="00A920E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1.12.2020</w:t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DD4B90" w:rsidRDefault="00DD4B90">
      <w:pPr>
        <w:sectPr w:rsidR="00DD4B90">
          <w:pgSz w:w="16838" w:h="11906" w:orient="landscape"/>
          <w:pgMar w:top="1701" w:right="1134" w:bottom="850" w:left="1276" w:header="0" w:footer="0" w:gutter="0"/>
          <w:cols w:space="720"/>
          <w:formProt w:val="0"/>
          <w:docGrid w:linePitch="360" w:charSpace="-2049"/>
        </w:sectPr>
      </w:pPr>
    </w:p>
    <w:p w:rsidR="00DD4B90" w:rsidRDefault="00DD4B90">
      <w:pPr>
        <w:jc w:val="center"/>
        <w:rPr>
          <w:rFonts w:cs="Times New Roman"/>
          <w:b/>
        </w:rPr>
      </w:pPr>
    </w:p>
    <w:p w:rsidR="00DD4B90" w:rsidRDefault="00A920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</w:t>
      </w:r>
    </w:p>
    <w:p w:rsidR="00DD4B90" w:rsidRDefault="00A920E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2 </w:t>
      </w:r>
      <w:r>
        <w:rPr>
          <w:rFonts w:ascii="Times New Roman" w:hAnsi="Times New Roman" w:cs="Times New Roman"/>
          <w:b/>
          <w:sz w:val="24"/>
          <w:szCs w:val="24"/>
        </w:rPr>
        <w:t>"Противодействие злоупотреблению наркотиками и их незаконному обороту"</w:t>
      </w:r>
    </w:p>
    <w:p w:rsidR="00DD4B90" w:rsidRDefault="00A920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Кимовский район</w:t>
      </w:r>
    </w:p>
    <w:p w:rsidR="00DD4B90" w:rsidRDefault="00A920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«Повышение общественной безопасности населения и разви</w:t>
      </w:r>
      <w:r>
        <w:rPr>
          <w:rFonts w:ascii="Times New Roman" w:hAnsi="Times New Roman" w:cs="Times New Roman"/>
          <w:b/>
          <w:sz w:val="24"/>
          <w:szCs w:val="24"/>
        </w:rPr>
        <w:t>тие местного самоуправления в муниципальном образовании Кимовский район»</w:t>
      </w:r>
    </w:p>
    <w:p w:rsidR="00DD4B90" w:rsidRDefault="00DD4B90">
      <w:pPr>
        <w:pStyle w:val="ConsPlusNormal"/>
        <w:jc w:val="center"/>
        <w:rPr>
          <w:rFonts w:cs="Times New Roman"/>
        </w:rPr>
      </w:pPr>
    </w:p>
    <w:p w:rsidR="00DD4B90" w:rsidRDefault="00A920E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совокупности комплекс мероприятий, реализуемых в рамках Программы, обеспечил улучшение показателей здоровья населения (показатели заболеваемости наркологическими расстройствами, </w:t>
      </w:r>
      <w:r>
        <w:rPr>
          <w:rFonts w:ascii="Times New Roman" w:hAnsi="Times New Roman" w:cs="Times New Roman"/>
          <w:sz w:val="24"/>
          <w:szCs w:val="24"/>
        </w:rPr>
        <w:t>показатели длительности периода ремиссии), улучшение социальной обстановки (увеличение количества показателей впервые выявленных потребителей психоактивных веществ, увеличение количества подростков и молодежи, вовлеченных в профилактические мероприятия).</w:t>
      </w:r>
    </w:p>
    <w:p w:rsidR="00DD4B90" w:rsidRDefault="00A920E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ценка показателей произведена на основании мониторинга результативности подпрограммы, ежегодного мониторинга наркологической ситуации в муниципальном образовании Кимовский район.</w:t>
      </w:r>
    </w:p>
    <w:p w:rsidR="00DD4B90" w:rsidRDefault="00A920E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мероприятия, запланированные подпрограммой, выполнены точно и в срок.</w:t>
      </w:r>
    </w:p>
    <w:p w:rsidR="00DD4B90" w:rsidRDefault="00A920E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</w:t>
      </w:r>
      <w:r>
        <w:rPr>
          <w:rFonts w:ascii="Times New Roman" w:hAnsi="Times New Roman" w:cs="Times New Roman"/>
          <w:sz w:val="24"/>
          <w:szCs w:val="24"/>
        </w:rPr>
        <w:t>жетные ассигнования заложены не были.</w:t>
      </w:r>
    </w:p>
    <w:p w:rsidR="00DD4B90" w:rsidRDefault="00DD4B90">
      <w:pPr>
        <w:ind w:firstLine="284"/>
        <w:jc w:val="both"/>
        <w:rPr>
          <w:rFonts w:cs="Times New Roman"/>
        </w:rPr>
      </w:pPr>
    </w:p>
    <w:p w:rsidR="00DD4B90" w:rsidRDefault="00DD4B90">
      <w:pPr>
        <w:ind w:firstLine="284"/>
        <w:jc w:val="both"/>
        <w:rPr>
          <w:rFonts w:cs="Times New Roman"/>
        </w:rPr>
      </w:pPr>
    </w:p>
    <w:p w:rsidR="00DD4B90" w:rsidRDefault="00DD4B90">
      <w:pPr>
        <w:ind w:firstLine="284"/>
        <w:jc w:val="both"/>
        <w:rPr>
          <w:rFonts w:cs="Times New Roman"/>
        </w:rPr>
      </w:pPr>
    </w:p>
    <w:p w:rsidR="00DD4B90" w:rsidRDefault="00DD4B90">
      <w:pPr>
        <w:ind w:firstLine="284"/>
        <w:jc w:val="both"/>
        <w:rPr>
          <w:rFonts w:cs="Times New Roman"/>
        </w:rPr>
      </w:pPr>
    </w:p>
    <w:p w:rsidR="00DD4B90" w:rsidRDefault="00DD4B90">
      <w:pPr>
        <w:ind w:firstLine="284"/>
        <w:jc w:val="both"/>
        <w:rPr>
          <w:rFonts w:cs="Times New Roman"/>
        </w:rPr>
      </w:pPr>
    </w:p>
    <w:p w:rsidR="00DD4B90" w:rsidRDefault="00DD4B90">
      <w:pPr>
        <w:ind w:firstLine="284"/>
        <w:jc w:val="both"/>
        <w:rPr>
          <w:rFonts w:cs="Times New Roman"/>
        </w:rPr>
      </w:pPr>
    </w:p>
    <w:p w:rsidR="00DD4B90" w:rsidRDefault="00DD4B90">
      <w:pPr>
        <w:ind w:firstLine="284"/>
        <w:jc w:val="both"/>
        <w:rPr>
          <w:rFonts w:cs="Times New Roman"/>
        </w:rPr>
      </w:pPr>
    </w:p>
    <w:p w:rsidR="00DD4B90" w:rsidRDefault="00DD4B90">
      <w:pPr>
        <w:ind w:firstLine="284"/>
        <w:jc w:val="both"/>
        <w:rPr>
          <w:rFonts w:cs="Times New Roman"/>
        </w:rPr>
      </w:pPr>
    </w:p>
    <w:p w:rsidR="00DD4B90" w:rsidRDefault="00DD4B90">
      <w:pPr>
        <w:ind w:firstLine="284"/>
        <w:jc w:val="both"/>
        <w:rPr>
          <w:rFonts w:cs="Times New Roman"/>
        </w:rPr>
      </w:pPr>
    </w:p>
    <w:p w:rsidR="00DD4B90" w:rsidRDefault="00DD4B90">
      <w:pPr>
        <w:ind w:firstLine="284"/>
        <w:jc w:val="both"/>
        <w:rPr>
          <w:rFonts w:cs="Times New Roman"/>
        </w:rPr>
        <w:sectPr w:rsidR="00DD4B90">
          <w:pgSz w:w="11906" w:h="16838"/>
          <w:pgMar w:top="1134" w:right="850" w:bottom="1276" w:left="1701" w:header="0" w:footer="0" w:gutter="0"/>
          <w:cols w:space="720"/>
          <w:formProt w:val="0"/>
          <w:docGrid w:linePitch="360" w:charSpace="-2049"/>
        </w:sectPr>
      </w:pPr>
    </w:p>
    <w:p w:rsidR="00DD4B90" w:rsidRDefault="00A920E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</w:t>
      </w:r>
    </w:p>
    <w:p w:rsidR="00DD4B90" w:rsidRDefault="00A920E5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достижении значений показателей </w:t>
      </w:r>
    </w:p>
    <w:p w:rsidR="00DD4B90" w:rsidRDefault="00A9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муниципального образования Кимовский район</w:t>
      </w:r>
    </w:p>
    <w:p w:rsidR="00DD4B90" w:rsidRDefault="00A920E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«Повышение общественной безопасности населения и развитие местного самоуправле</w:t>
      </w:r>
      <w:r>
        <w:rPr>
          <w:rFonts w:ascii="Times New Roman" w:hAnsi="Times New Roman" w:cs="Times New Roman"/>
          <w:b/>
          <w:bCs/>
          <w:sz w:val="24"/>
          <w:szCs w:val="24"/>
        </w:rPr>
        <w:t>ния в муниципальном образовании Кимовский район» за 2016 год</w:t>
      </w:r>
    </w:p>
    <w:p w:rsidR="00DD4B90" w:rsidRDefault="00A920E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0226" w:type="dxa"/>
        <w:tblInd w:w="-52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5" w:type="dxa"/>
        </w:tblCellMar>
        <w:tblLook w:val="04A0"/>
      </w:tblPr>
      <w:tblGrid>
        <w:gridCol w:w="547"/>
        <w:gridCol w:w="2662"/>
        <w:gridCol w:w="1102"/>
        <w:gridCol w:w="1960"/>
        <w:gridCol w:w="1075"/>
        <w:gridCol w:w="1075"/>
        <w:gridCol w:w="1805"/>
      </w:tblGrid>
      <w:tr w:rsidR="00DD4B90">
        <w:trPr>
          <w:cantSplit/>
          <w:trHeight w:val="846"/>
        </w:trPr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измере-ния</w:t>
            </w:r>
          </w:p>
        </w:tc>
        <w:tc>
          <w:tcPr>
            <w:tcW w:w="39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DD4B90">
        <w:trPr>
          <w:cantSplit/>
          <w:trHeight w:val="360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отчетному </w:t>
            </w:r>
            <w:hyperlink r:id="rId6" w:anchor="Par1218" w:history="1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8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B90">
        <w:trPr>
          <w:cantSplit/>
          <w:trHeight w:val="183"/>
        </w:trPr>
        <w:tc>
          <w:tcPr>
            <w:tcW w:w="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B90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4B90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DD4B9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B90">
        <w:trPr>
          <w:trHeight w:val="16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4B90">
        <w:trPr>
          <w:trHeight w:val="16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несовершеннолетних, совершивших преступления,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расчете на 1000 подростков в возрасте 14-17 лет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усл. ед.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DD4B90">
        <w:trPr>
          <w:trHeight w:val="16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DD4B90">
        <w:trPr>
          <w:trHeight w:val="16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DD4B90">
        <w:trPr>
          <w:trHeight w:val="16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тяжких преступлений против жизни и здоровья личности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DD4B90">
        <w:trPr>
          <w:trHeight w:val="16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преступлений, совершенных на улицах и в других общественных местах</w:t>
            </w:r>
          </w:p>
          <w:p w:rsidR="00DD4B90" w:rsidRDefault="00DD4B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DD4B90">
        <w:trPr>
          <w:trHeight w:val="16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эффективности принимаемых мер правового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</w:t>
            </w:r>
          </w:p>
          <w:p w:rsidR="00DD4B90" w:rsidRDefault="00DD4B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4B90">
        <w:trPr>
          <w:trHeight w:val="16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муниципальных образовательных учреждений и учреждений культуры и искусства,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D4B90">
        <w:trPr>
          <w:trHeight w:val="16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передачи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 чрезвычайной ситуации, в том числе акте террористического характера, от дежурно-диспетчерской службы потенциально опасного объекта до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35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D4B90">
        <w:trPr>
          <w:trHeight w:val="16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молодежи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 район, участвующей в мероприятиях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4B90">
        <w:trPr>
          <w:trHeight w:val="16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DD4B90">
        <w:trPr>
          <w:trHeight w:val="16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военно-патриотических клубов и временных сводных отрядов муниципальных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</w:tr>
      <w:tr w:rsidR="00DD4B90">
        <w:trPr>
          <w:trHeight w:val="160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лиц, больных наркоманией, в отчетном периоде к уровню 2012 года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DD4B9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DD4B9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DD4B9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DD4B9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B90" w:rsidRDefault="00DD4B9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DD4B90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количества лиц с впервые установленным диагнозом «наркомания» в отчетном периоде к уровню 2012 года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</w:tr>
      <w:tr w:rsidR="00DD4B90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подростков и молодежи в возрасте от 11 до 18 лет, вовлеченных в мероприятия по профилактике наркомании,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отношению к общей численности указанной категории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DD4B90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больных наркоманией, прошедших лечение и реабилитацию,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длительность ремиссии у которых составляет не менее 3 лет, по отношению к общему числу больных наркоманией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DD4B90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ТОС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4B90">
        <w:trPr>
          <w:trHeight w:val="189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социологических опросов населения для определения эффективности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D4B90" w:rsidRDefault="00A920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D4B90" w:rsidRDefault="00DD4B90">
      <w:pPr>
        <w:spacing w:line="240" w:lineRule="auto"/>
        <w:ind w:firstLine="284"/>
        <w:jc w:val="center"/>
        <w:rPr>
          <w:rFonts w:cs="Times New Roman"/>
        </w:rPr>
      </w:pPr>
    </w:p>
    <w:p w:rsidR="00DD4B90" w:rsidRDefault="00A920E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3. «Укрепление единства российской нации и </w:t>
      </w:r>
      <w:r>
        <w:rPr>
          <w:rFonts w:ascii="Times New Roman" w:hAnsi="Times New Roman" w:cs="Times New Roman"/>
          <w:b/>
          <w:sz w:val="24"/>
          <w:szCs w:val="24"/>
        </w:rPr>
        <w:t>этнокультурное развитие народов России в муниципальном образовании Кимовский район»</w:t>
      </w: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Традиционно в образовательных учреждениях проходят мероприятия, посвященные Православным праздникам, в которых активное участие принимают настоятель храма в честь иконы </w:t>
      </w:r>
      <w:r>
        <w:rPr>
          <w:rFonts w:ascii="Times New Roman" w:hAnsi="Times New Roman" w:cs="Times New Roman"/>
          <w:sz w:val="24"/>
          <w:szCs w:val="24"/>
        </w:rPr>
        <w:t>Божией матери «Утоли моя печали» иерей Илия, настоятель Иоанно-Предтеченского храма и Свято - Никольского Собора п. Епифань иерей Александр, настоятель Богоявленского храма села Хитровщина отец Алексей.</w:t>
      </w:r>
    </w:p>
    <w:p w:rsidR="00DD4B90" w:rsidRDefault="00A92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мероприятие 1 «Развитие территориального общ</w:t>
      </w:r>
      <w:r>
        <w:rPr>
          <w:rFonts w:ascii="Times New Roman" w:hAnsi="Times New Roman" w:cs="Times New Roman"/>
          <w:b/>
          <w:sz w:val="24"/>
          <w:szCs w:val="24"/>
        </w:rPr>
        <w:t>ественного самоуправления»</w:t>
      </w:r>
    </w:p>
    <w:p w:rsidR="00DD4B90" w:rsidRDefault="00DD4B90">
      <w:pPr>
        <w:pStyle w:val="Default"/>
        <w:jc w:val="center"/>
      </w:pPr>
    </w:p>
    <w:p w:rsidR="00DD4B90" w:rsidRDefault="00A920E5">
      <w:pPr>
        <w:pStyle w:val="aa"/>
        <w:tabs>
          <w:tab w:val="left" w:pos="851"/>
        </w:tabs>
        <w:spacing w:beforeAutospacing="0" w:after="0" w:afterAutospacing="0"/>
        <w:jc w:val="both"/>
      </w:pPr>
      <w:r>
        <w:t xml:space="preserve">В 2016 году на реализацию основного мероприятия 1 «Развитие территориального общественного самоуправления» в бюджете муниципального образования Кимовский район было заложено 80 тыс. руб., из них освоено 80 тыс.руб. на ежегодный </w:t>
      </w:r>
      <w:r>
        <w:t>конкурс среди органов ТОС «Лучший двор», «Лучший подъезд», «Лучшее учреждение» - 39,5 тыс. руб., на семинар органов ТОС МО Кимовский район 40,5 тыс. руб.</w:t>
      </w:r>
    </w:p>
    <w:p w:rsidR="00DD4B90" w:rsidRDefault="00DD4B90">
      <w:pPr>
        <w:pStyle w:val="aa"/>
        <w:tabs>
          <w:tab w:val="left" w:pos="851"/>
        </w:tabs>
        <w:spacing w:beforeAutospacing="0" w:after="0" w:afterAutospacing="0"/>
        <w:jc w:val="both"/>
      </w:pPr>
    </w:p>
    <w:p w:rsidR="00DD4B90" w:rsidRDefault="00A920E5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названные мероприятия направлены на повышение социальной активности граждан в решении вопросо</w:t>
      </w:r>
      <w:r>
        <w:rPr>
          <w:rFonts w:ascii="Times New Roman" w:hAnsi="Times New Roman" w:cs="Times New Roman"/>
          <w:sz w:val="24"/>
          <w:szCs w:val="24"/>
        </w:rPr>
        <w:t>в местного значения, является решением социально-значимых для населения вопросов по благоустройству территорий, создания благоприятных условий для обмена опытом по реализации социально-значимых инициатив граждан.</w:t>
      </w:r>
    </w:p>
    <w:p w:rsidR="00DD4B90" w:rsidRDefault="00A92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мероприятие 2 «Дополнительно профе</w:t>
      </w:r>
      <w:r>
        <w:rPr>
          <w:rFonts w:ascii="Times New Roman" w:hAnsi="Times New Roman" w:cs="Times New Roman"/>
          <w:b/>
          <w:sz w:val="24"/>
          <w:szCs w:val="24"/>
        </w:rPr>
        <w:t>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службы, и лиц, замещающих выборные муниципальные должности»</w:t>
      </w:r>
    </w:p>
    <w:p w:rsidR="00DD4B90" w:rsidRDefault="00DD4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90" w:rsidRDefault="00A920E5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п.п.2 п.6.4. Основные мероприятия госуда</w:t>
      </w:r>
      <w:r>
        <w:rPr>
          <w:rFonts w:ascii="Times New Roman" w:hAnsi="Times New Roman" w:cs="Times New Roman"/>
          <w:b/>
          <w:sz w:val="24"/>
          <w:szCs w:val="24"/>
        </w:rPr>
        <w:t>рственной программы «Повышение безопасности населения и развития местного самоуправления в муниципальном образовании Кимовский район»</w:t>
      </w:r>
    </w:p>
    <w:p w:rsidR="00DD4B90" w:rsidRDefault="00A920E5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 бюджете МО Кимовский район на реализацию основных мероприятий  профессиональная подготовка и повышении квалификации по </w:t>
      </w:r>
      <w:r>
        <w:rPr>
          <w:rFonts w:ascii="Times New Roman" w:hAnsi="Times New Roman" w:cs="Times New Roman"/>
          <w:sz w:val="24"/>
          <w:szCs w:val="24"/>
        </w:rPr>
        <w:t>программе «Повышение общественной безопасности населения и развитие местного самоуправления в муниципальном образовании Кимовский район» было заложено 80 тыс. рублей.</w:t>
      </w:r>
    </w:p>
    <w:p w:rsidR="00DD4B90" w:rsidRDefault="00A920E5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 конец,  2016 года план был скорректирован по фактическим расходам данного направления,</w:t>
      </w:r>
      <w:r>
        <w:rPr>
          <w:rFonts w:ascii="Times New Roman" w:hAnsi="Times New Roman" w:cs="Times New Roman"/>
          <w:sz w:val="24"/>
          <w:szCs w:val="24"/>
        </w:rPr>
        <w:t xml:space="preserve"> утверждены лимиты на 7 тыс. руб. </w:t>
      </w:r>
    </w:p>
    <w:p w:rsidR="00DD4B90" w:rsidRDefault="00A920E5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Из вышеуказанного следует, что лимиты в сумме 7 тыс. рублей фактически израсходованы.</w:t>
      </w:r>
    </w:p>
    <w:p w:rsidR="00DD4B90" w:rsidRDefault="00A920E5">
      <w:pPr>
        <w:spacing w:after="0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Перечень показателей результативности и эффективности муниципальной программы</w:t>
      </w:r>
    </w:p>
    <w:p w:rsidR="00DD4B90" w:rsidRDefault="00A920E5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На 2016 год было заявлено 10 человек в рамках основного м</w:t>
      </w:r>
      <w:r>
        <w:rPr>
          <w:rFonts w:ascii="Times New Roman" w:hAnsi="Times New Roman" w:cs="Times New Roman"/>
          <w:sz w:val="24"/>
          <w:szCs w:val="24"/>
        </w:rPr>
        <w:t>ероприятия профессиональная подготовка и повышении квалификации, фактически обучились 2 человека.</w:t>
      </w:r>
    </w:p>
    <w:p w:rsidR="00DD4B90" w:rsidRDefault="00DD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B90" w:rsidRDefault="00A92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3 «Проведение социологических опросов жителей на территории муниципального образования Кимовский район» </w:t>
      </w:r>
    </w:p>
    <w:p w:rsidR="00DD4B90" w:rsidRDefault="00DD4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90" w:rsidRDefault="00A920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целью выявления мнения</w:t>
      </w:r>
      <w:r>
        <w:rPr>
          <w:rFonts w:ascii="Times New Roman" w:hAnsi="Times New Roman" w:cs="Times New Roman"/>
          <w:sz w:val="24"/>
          <w:szCs w:val="24"/>
        </w:rPr>
        <w:t xml:space="preserve"> населения о деятельности органов исполнительной власти и органов местного самоуправления муниципального образования в течение 2016 года было проведено 3 социологических опроса в март, май и август.</w:t>
      </w:r>
    </w:p>
    <w:tbl>
      <w:tblPr>
        <w:tblW w:w="9570" w:type="dxa"/>
        <w:tblLook w:val="04A0"/>
      </w:tblPr>
      <w:tblGrid>
        <w:gridCol w:w="4786"/>
        <w:gridCol w:w="4784"/>
      </w:tblGrid>
      <w:tr w:rsidR="00DD4B90">
        <w:tc>
          <w:tcPr>
            <w:tcW w:w="4785" w:type="dxa"/>
            <w:shd w:val="clear" w:color="auto" w:fill="auto"/>
          </w:tcPr>
          <w:p w:rsidR="00DD4B90" w:rsidRDefault="00A9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отдела по организационной работе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взаимодействию с органами местного самоуправления</w:t>
            </w:r>
          </w:p>
        </w:tc>
        <w:tc>
          <w:tcPr>
            <w:tcW w:w="4784" w:type="dxa"/>
            <w:shd w:val="clear" w:color="auto" w:fill="auto"/>
            <w:vAlign w:val="bottom"/>
          </w:tcPr>
          <w:p w:rsidR="00DD4B90" w:rsidRDefault="00A920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Г.Ю. Федчук</w:t>
            </w:r>
          </w:p>
        </w:tc>
      </w:tr>
    </w:tbl>
    <w:p w:rsidR="00DD4B90" w:rsidRDefault="00DD4B90">
      <w:pPr>
        <w:spacing w:after="0" w:line="240" w:lineRule="auto"/>
        <w:jc w:val="both"/>
      </w:pPr>
    </w:p>
    <w:sectPr w:rsidR="00DD4B90" w:rsidSect="00DD4B90">
      <w:pgSz w:w="11906" w:h="16838"/>
      <w:pgMar w:top="1134" w:right="850" w:bottom="127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A8C"/>
    <w:multiLevelType w:val="multilevel"/>
    <w:tmpl w:val="1368CB3E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">
    <w:nsid w:val="527E65AC"/>
    <w:multiLevelType w:val="multilevel"/>
    <w:tmpl w:val="915E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6E57F22"/>
    <w:multiLevelType w:val="multilevel"/>
    <w:tmpl w:val="3076A5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4B90"/>
    <w:rsid w:val="00A920E5"/>
    <w:rsid w:val="00DD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E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3A12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3E2385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6D5392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Emphasis"/>
    <w:qFormat/>
    <w:rsid w:val="006D5392"/>
    <w:rPr>
      <w:i/>
    </w:rPr>
  </w:style>
  <w:style w:type="character" w:customStyle="1" w:styleId="2">
    <w:name w:val="Основной текст с отступом 2 Знак"/>
    <w:basedOn w:val="a0"/>
    <w:link w:val="2"/>
    <w:qFormat/>
    <w:rsid w:val="006D5392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qFormat/>
    <w:rsid w:val="003A128B"/>
  </w:style>
  <w:style w:type="character" w:customStyle="1" w:styleId="apple-converted-space">
    <w:name w:val="apple-converted-space"/>
    <w:basedOn w:val="a0"/>
    <w:qFormat/>
    <w:rsid w:val="003A128B"/>
  </w:style>
  <w:style w:type="character" w:customStyle="1" w:styleId="1">
    <w:name w:val="Заголовок 1 Знак"/>
    <w:basedOn w:val="a0"/>
    <w:link w:val="Heading1"/>
    <w:qFormat/>
    <w:rsid w:val="003A128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">
    <w:name w:val="ListLabel 1"/>
    <w:qFormat/>
    <w:rsid w:val="00DD4B90"/>
    <w:rPr>
      <w:rFonts w:ascii="Times New Roman" w:hAnsi="Times New Roman"/>
      <w:color w:val="00000A"/>
      <w:sz w:val="24"/>
    </w:rPr>
  </w:style>
  <w:style w:type="character" w:customStyle="1" w:styleId="ListLabel2">
    <w:name w:val="ListLabel 2"/>
    <w:qFormat/>
    <w:rsid w:val="00DD4B90"/>
    <w:rPr>
      <w:rFonts w:cs="Courier New"/>
    </w:rPr>
  </w:style>
  <w:style w:type="character" w:customStyle="1" w:styleId="ListLabel3">
    <w:name w:val="ListLabel 3"/>
    <w:qFormat/>
    <w:rsid w:val="00DD4B90"/>
    <w:rPr>
      <w:rFonts w:cs="Courier New"/>
    </w:rPr>
  </w:style>
  <w:style w:type="character" w:customStyle="1" w:styleId="ListLabel4">
    <w:name w:val="ListLabel 4"/>
    <w:qFormat/>
    <w:rsid w:val="00DD4B90"/>
    <w:rPr>
      <w:rFonts w:cs="Courier New"/>
    </w:rPr>
  </w:style>
  <w:style w:type="character" w:customStyle="1" w:styleId="ft7010">
    <w:name w:val="ft7010"/>
    <w:basedOn w:val="a0"/>
    <w:qFormat/>
    <w:rsid w:val="00DD4B90"/>
  </w:style>
  <w:style w:type="character" w:customStyle="1" w:styleId="ft7047">
    <w:name w:val="ft7047"/>
    <w:basedOn w:val="a0"/>
    <w:qFormat/>
    <w:rsid w:val="00DD4B90"/>
  </w:style>
  <w:style w:type="character" w:customStyle="1" w:styleId="ft7083">
    <w:name w:val="ft7083"/>
    <w:basedOn w:val="a0"/>
    <w:qFormat/>
    <w:rsid w:val="00DD4B90"/>
  </w:style>
  <w:style w:type="character" w:customStyle="1" w:styleId="ft7128">
    <w:name w:val="ft7128"/>
    <w:basedOn w:val="a0"/>
    <w:qFormat/>
    <w:rsid w:val="00DD4B90"/>
  </w:style>
  <w:style w:type="character" w:customStyle="1" w:styleId="ft7175">
    <w:name w:val="ft7175"/>
    <w:basedOn w:val="a0"/>
    <w:qFormat/>
    <w:rsid w:val="00DD4B90"/>
  </w:style>
  <w:style w:type="character" w:customStyle="1" w:styleId="ft7218">
    <w:name w:val="ft7218"/>
    <w:basedOn w:val="a0"/>
    <w:qFormat/>
    <w:rsid w:val="00DD4B90"/>
  </w:style>
  <w:style w:type="character" w:customStyle="1" w:styleId="ft735">
    <w:name w:val="ft735"/>
    <w:basedOn w:val="a0"/>
    <w:qFormat/>
    <w:rsid w:val="00DD4B90"/>
  </w:style>
  <w:style w:type="character" w:customStyle="1" w:styleId="ft7233">
    <w:name w:val="ft7233"/>
    <w:basedOn w:val="a0"/>
    <w:qFormat/>
    <w:rsid w:val="00DD4B90"/>
  </w:style>
  <w:style w:type="character" w:customStyle="1" w:styleId="ft7278">
    <w:name w:val="ft7278"/>
    <w:basedOn w:val="a0"/>
    <w:qFormat/>
    <w:rsid w:val="00DD4B90"/>
  </w:style>
  <w:style w:type="character" w:customStyle="1" w:styleId="ft2107">
    <w:name w:val="ft2107"/>
    <w:basedOn w:val="a0"/>
    <w:qFormat/>
    <w:rsid w:val="00DD4B90"/>
  </w:style>
  <w:style w:type="character" w:customStyle="1" w:styleId="ft7328">
    <w:name w:val="ft7328"/>
    <w:basedOn w:val="a0"/>
    <w:qFormat/>
    <w:rsid w:val="00DD4B90"/>
  </w:style>
  <w:style w:type="character" w:customStyle="1" w:styleId="ft7373">
    <w:name w:val="ft7373"/>
    <w:basedOn w:val="a0"/>
    <w:qFormat/>
    <w:rsid w:val="00DD4B90"/>
  </w:style>
  <w:style w:type="character" w:customStyle="1" w:styleId="ft7418">
    <w:name w:val="ft7418"/>
    <w:basedOn w:val="a0"/>
    <w:qFormat/>
    <w:rsid w:val="00DD4B90"/>
  </w:style>
  <w:style w:type="character" w:customStyle="1" w:styleId="ft7457">
    <w:name w:val="ft7457"/>
    <w:basedOn w:val="a0"/>
    <w:qFormat/>
    <w:rsid w:val="00DD4B90"/>
  </w:style>
  <w:style w:type="character" w:customStyle="1" w:styleId="ListLabel10">
    <w:name w:val="ListLabel 10"/>
    <w:qFormat/>
    <w:rsid w:val="00DD4B90"/>
    <w:rPr>
      <w:rFonts w:cs="Courier New"/>
    </w:rPr>
  </w:style>
  <w:style w:type="character" w:customStyle="1" w:styleId="ListLabel11">
    <w:name w:val="ListLabel 11"/>
    <w:qFormat/>
    <w:rsid w:val="00DD4B90"/>
    <w:rPr>
      <w:rFonts w:cs="Courier New"/>
    </w:rPr>
  </w:style>
  <w:style w:type="character" w:customStyle="1" w:styleId="ListLabel12">
    <w:name w:val="ListLabel 12"/>
    <w:qFormat/>
    <w:rsid w:val="00DD4B90"/>
    <w:rPr>
      <w:rFonts w:cs="Courier New"/>
    </w:rPr>
  </w:style>
  <w:style w:type="character" w:customStyle="1" w:styleId="ListLabel5">
    <w:name w:val="ListLabel 5"/>
    <w:qFormat/>
    <w:rsid w:val="00DD4B90"/>
    <w:rPr>
      <w:sz w:val="20"/>
    </w:rPr>
  </w:style>
  <w:style w:type="character" w:customStyle="1" w:styleId="ListLabel6">
    <w:name w:val="ListLabel 6"/>
    <w:qFormat/>
    <w:rsid w:val="00DD4B90"/>
    <w:rPr>
      <w:sz w:val="20"/>
    </w:rPr>
  </w:style>
  <w:style w:type="character" w:customStyle="1" w:styleId="ListLabel7">
    <w:name w:val="ListLabel 7"/>
    <w:qFormat/>
    <w:rsid w:val="00DD4B90"/>
    <w:rPr>
      <w:sz w:val="20"/>
    </w:rPr>
  </w:style>
  <w:style w:type="character" w:customStyle="1" w:styleId="ListLabel8">
    <w:name w:val="ListLabel 8"/>
    <w:qFormat/>
    <w:rsid w:val="00DD4B90"/>
    <w:rPr>
      <w:sz w:val="20"/>
    </w:rPr>
  </w:style>
  <w:style w:type="character" w:customStyle="1" w:styleId="ListLabel9">
    <w:name w:val="ListLabel 9"/>
    <w:qFormat/>
    <w:rsid w:val="00DD4B90"/>
    <w:rPr>
      <w:sz w:val="20"/>
    </w:rPr>
  </w:style>
  <w:style w:type="character" w:customStyle="1" w:styleId="ListLabel13">
    <w:name w:val="ListLabel 13"/>
    <w:qFormat/>
    <w:rsid w:val="00DD4B90"/>
    <w:rPr>
      <w:rFonts w:ascii="Times New Roman" w:hAnsi="Times New Roman" w:cs="Symbol"/>
      <w:sz w:val="24"/>
    </w:rPr>
  </w:style>
  <w:style w:type="character" w:customStyle="1" w:styleId="ListLabel14">
    <w:name w:val="ListLabel 14"/>
    <w:qFormat/>
    <w:rsid w:val="00DD4B90"/>
    <w:rPr>
      <w:rFonts w:cs="Courier New"/>
    </w:rPr>
  </w:style>
  <w:style w:type="character" w:customStyle="1" w:styleId="ListLabel15">
    <w:name w:val="ListLabel 15"/>
    <w:qFormat/>
    <w:rsid w:val="00DD4B90"/>
    <w:rPr>
      <w:rFonts w:cs="Wingdings"/>
    </w:rPr>
  </w:style>
  <w:style w:type="character" w:customStyle="1" w:styleId="ListLabel16">
    <w:name w:val="ListLabel 16"/>
    <w:qFormat/>
    <w:rsid w:val="00DD4B90"/>
    <w:rPr>
      <w:rFonts w:cs="Symbol"/>
    </w:rPr>
  </w:style>
  <w:style w:type="character" w:customStyle="1" w:styleId="ListLabel17">
    <w:name w:val="ListLabel 17"/>
    <w:qFormat/>
    <w:rsid w:val="00DD4B90"/>
    <w:rPr>
      <w:rFonts w:cs="Courier New"/>
    </w:rPr>
  </w:style>
  <w:style w:type="character" w:customStyle="1" w:styleId="ListLabel18">
    <w:name w:val="ListLabel 18"/>
    <w:qFormat/>
    <w:rsid w:val="00DD4B90"/>
    <w:rPr>
      <w:rFonts w:cs="Wingdings"/>
    </w:rPr>
  </w:style>
  <w:style w:type="character" w:customStyle="1" w:styleId="ListLabel19">
    <w:name w:val="ListLabel 19"/>
    <w:qFormat/>
    <w:rsid w:val="00DD4B90"/>
    <w:rPr>
      <w:rFonts w:cs="Symbol"/>
    </w:rPr>
  </w:style>
  <w:style w:type="character" w:customStyle="1" w:styleId="ListLabel20">
    <w:name w:val="ListLabel 20"/>
    <w:qFormat/>
    <w:rsid w:val="00DD4B90"/>
    <w:rPr>
      <w:rFonts w:cs="Courier New"/>
    </w:rPr>
  </w:style>
  <w:style w:type="character" w:customStyle="1" w:styleId="ListLabel21">
    <w:name w:val="ListLabel 21"/>
    <w:qFormat/>
    <w:rsid w:val="00DD4B90"/>
    <w:rPr>
      <w:rFonts w:cs="Wingdings"/>
    </w:rPr>
  </w:style>
  <w:style w:type="character" w:customStyle="1" w:styleId="ListLabel22">
    <w:name w:val="ListLabel 22"/>
    <w:qFormat/>
    <w:rsid w:val="00DD4B90"/>
    <w:rPr>
      <w:rFonts w:ascii="Times New Roman" w:hAnsi="Times New Roman" w:cs="Symbol"/>
      <w:color w:val="00000A"/>
      <w:sz w:val="24"/>
    </w:rPr>
  </w:style>
  <w:style w:type="character" w:customStyle="1" w:styleId="ListLabel23">
    <w:name w:val="ListLabel 23"/>
    <w:qFormat/>
    <w:rsid w:val="00DD4B90"/>
    <w:rPr>
      <w:rFonts w:cs="Courier New"/>
    </w:rPr>
  </w:style>
  <w:style w:type="character" w:customStyle="1" w:styleId="ListLabel24">
    <w:name w:val="ListLabel 24"/>
    <w:qFormat/>
    <w:rsid w:val="00DD4B90"/>
    <w:rPr>
      <w:rFonts w:cs="Courier New"/>
    </w:rPr>
  </w:style>
  <w:style w:type="character" w:customStyle="1" w:styleId="ListLabel25">
    <w:name w:val="ListLabel 25"/>
    <w:qFormat/>
    <w:rsid w:val="00DD4B90"/>
    <w:rPr>
      <w:rFonts w:cs="Courier New"/>
    </w:rPr>
  </w:style>
  <w:style w:type="character" w:customStyle="1" w:styleId="ListLabel26">
    <w:name w:val="ListLabel 26"/>
    <w:qFormat/>
    <w:rsid w:val="00DD4B90"/>
    <w:rPr>
      <w:rFonts w:cs="Wingdings"/>
      <w:sz w:val="20"/>
    </w:rPr>
  </w:style>
  <w:style w:type="character" w:customStyle="1" w:styleId="ListLabel27">
    <w:name w:val="ListLabel 27"/>
    <w:qFormat/>
    <w:rsid w:val="00DD4B90"/>
    <w:rPr>
      <w:rFonts w:cs="Wingdings"/>
      <w:sz w:val="20"/>
    </w:rPr>
  </w:style>
  <w:style w:type="character" w:customStyle="1" w:styleId="ListLabel28">
    <w:name w:val="ListLabel 28"/>
    <w:qFormat/>
    <w:rsid w:val="00DD4B90"/>
    <w:rPr>
      <w:rFonts w:cs="Wingdings"/>
      <w:sz w:val="20"/>
    </w:rPr>
  </w:style>
  <w:style w:type="character" w:customStyle="1" w:styleId="ListLabel29">
    <w:name w:val="ListLabel 29"/>
    <w:qFormat/>
    <w:rsid w:val="00DD4B90"/>
    <w:rPr>
      <w:rFonts w:cs="Wingdings"/>
      <w:sz w:val="20"/>
    </w:rPr>
  </w:style>
  <w:style w:type="character" w:customStyle="1" w:styleId="ListLabel30">
    <w:name w:val="ListLabel 30"/>
    <w:qFormat/>
    <w:rsid w:val="00DD4B90"/>
    <w:rPr>
      <w:rFonts w:cs="Wingdings"/>
      <w:sz w:val="20"/>
    </w:rPr>
  </w:style>
  <w:style w:type="character" w:customStyle="1" w:styleId="ListLabel31">
    <w:name w:val="ListLabel 31"/>
    <w:qFormat/>
    <w:rsid w:val="00DD4B90"/>
    <w:rPr>
      <w:rFonts w:ascii="Times New Roman" w:hAnsi="Times New Roman" w:cs="Symbol"/>
      <w:sz w:val="24"/>
    </w:rPr>
  </w:style>
  <w:style w:type="character" w:customStyle="1" w:styleId="ListLabel32">
    <w:name w:val="ListLabel 32"/>
    <w:qFormat/>
    <w:rsid w:val="00DD4B90"/>
    <w:rPr>
      <w:rFonts w:cs="Courier New"/>
    </w:rPr>
  </w:style>
  <w:style w:type="character" w:customStyle="1" w:styleId="ListLabel33">
    <w:name w:val="ListLabel 33"/>
    <w:qFormat/>
    <w:rsid w:val="00DD4B90"/>
    <w:rPr>
      <w:rFonts w:cs="Wingdings"/>
    </w:rPr>
  </w:style>
  <w:style w:type="character" w:customStyle="1" w:styleId="ListLabel34">
    <w:name w:val="ListLabel 34"/>
    <w:qFormat/>
    <w:rsid w:val="00DD4B90"/>
    <w:rPr>
      <w:rFonts w:cs="Symbol"/>
    </w:rPr>
  </w:style>
  <w:style w:type="character" w:customStyle="1" w:styleId="ListLabel35">
    <w:name w:val="ListLabel 35"/>
    <w:qFormat/>
    <w:rsid w:val="00DD4B90"/>
    <w:rPr>
      <w:rFonts w:cs="Courier New"/>
    </w:rPr>
  </w:style>
  <w:style w:type="character" w:customStyle="1" w:styleId="ListLabel36">
    <w:name w:val="ListLabel 36"/>
    <w:qFormat/>
    <w:rsid w:val="00DD4B90"/>
    <w:rPr>
      <w:rFonts w:cs="Wingdings"/>
    </w:rPr>
  </w:style>
  <w:style w:type="character" w:customStyle="1" w:styleId="ListLabel37">
    <w:name w:val="ListLabel 37"/>
    <w:qFormat/>
    <w:rsid w:val="00DD4B90"/>
    <w:rPr>
      <w:rFonts w:cs="Symbol"/>
    </w:rPr>
  </w:style>
  <w:style w:type="character" w:customStyle="1" w:styleId="ListLabel38">
    <w:name w:val="ListLabel 38"/>
    <w:qFormat/>
    <w:rsid w:val="00DD4B90"/>
    <w:rPr>
      <w:rFonts w:cs="Courier New"/>
    </w:rPr>
  </w:style>
  <w:style w:type="character" w:customStyle="1" w:styleId="ListLabel39">
    <w:name w:val="ListLabel 39"/>
    <w:qFormat/>
    <w:rsid w:val="00DD4B90"/>
    <w:rPr>
      <w:rFonts w:cs="Wingdings"/>
    </w:rPr>
  </w:style>
  <w:style w:type="character" w:customStyle="1" w:styleId="ListLabel40">
    <w:name w:val="ListLabel 40"/>
    <w:qFormat/>
    <w:rsid w:val="00DD4B90"/>
    <w:rPr>
      <w:rFonts w:ascii="Times New Roman" w:hAnsi="Times New Roman" w:cs="Symbol"/>
      <w:color w:val="00000A"/>
      <w:sz w:val="24"/>
    </w:rPr>
  </w:style>
  <w:style w:type="character" w:customStyle="1" w:styleId="ListLabel41">
    <w:name w:val="ListLabel 41"/>
    <w:qFormat/>
    <w:rsid w:val="00DD4B90"/>
    <w:rPr>
      <w:rFonts w:cs="Courier New"/>
    </w:rPr>
  </w:style>
  <w:style w:type="character" w:customStyle="1" w:styleId="ListLabel42">
    <w:name w:val="ListLabel 42"/>
    <w:qFormat/>
    <w:rsid w:val="00DD4B90"/>
    <w:rPr>
      <w:rFonts w:cs="Courier New"/>
    </w:rPr>
  </w:style>
  <w:style w:type="character" w:customStyle="1" w:styleId="ListLabel43">
    <w:name w:val="ListLabel 43"/>
    <w:qFormat/>
    <w:rsid w:val="00DD4B90"/>
    <w:rPr>
      <w:rFonts w:cs="Courier New"/>
    </w:rPr>
  </w:style>
  <w:style w:type="character" w:customStyle="1" w:styleId="ListLabel44">
    <w:name w:val="ListLabel 44"/>
    <w:qFormat/>
    <w:rsid w:val="00DD4B90"/>
    <w:rPr>
      <w:rFonts w:cs="Wingdings"/>
      <w:sz w:val="20"/>
    </w:rPr>
  </w:style>
  <w:style w:type="character" w:customStyle="1" w:styleId="ListLabel45">
    <w:name w:val="ListLabel 45"/>
    <w:qFormat/>
    <w:rsid w:val="00DD4B90"/>
    <w:rPr>
      <w:rFonts w:cs="Wingdings"/>
      <w:sz w:val="20"/>
    </w:rPr>
  </w:style>
  <w:style w:type="character" w:customStyle="1" w:styleId="ListLabel46">
    <w:name w:val="ListLabel 46"/>
    <w:qFormat/>
    <w:rsid w:val="00DD4B90"/>
    <w:rPr>
      <w:rFonts w:cs="Wingdings"/>
      <w:sz w:val="20"/>
    </w:rPr>
  </w:style>
  <w:style w:type="character" w:customStyle="1" w:styleId="ListLabel47">
    <w:name w:val="ListLabel 47"/>
    <w:qFormat/>
    <w:rsid w:val="00DD4B90"/>
    <w:rPr>
      <w:rFonts w:cs="Wingdings"/>
      <w:sz w:val="20"/>
    </w:rPr>
  </w:style>
  <w:style w:type="character" w:customStyle="1" w:styleId="ListLabel48">
    <w:name w:val="ListLabel 48"/>
    <w:qFormat/>
    <w:rsid w:val="00DD4B90"/>
    <w:rPr>
      <w:rFonts w:cs="Wingdings"/>
      <w:sz w:val="20"/>
    </w:rPr>
  </w:style>
  <w:style w:type="character" w:customStyle="1" w:styleId="ListLabel49">
    <w:name w:val="ListLabel 49"/>
    <w:qFormat/>
    <w:rsid w:val="00DD4B90"/>
    <w:rPr>
      <w:rFonts w:ascii="Times New Roman" w:hAnsi="Times New Roman" w:cs="Symbol"/>
      <w:sz w:val="24"/>
    </w:rPr>
  </w:style>
  <w:style w:type="character" w:customStyle="1" w:styleId="ListLabel50">
    <w:name w:val="ListLabel 50"/>
    <w:qFormat/>
    <w:rsid w:val="00DD4B90"/>
    <w:rPr>
      <w:rFonts w:cs="Courier New"/>
    </w:rPr>
  </w:style>
  <w:style w:type="character" w:customStyle="1" w:styleId="ListLabel51">
    <w:name w:val="ListLabel 51"/>
    <w:qFormat/>
    <w:rsid w:val="00DD4B90"/>
    <w:rPr>
      <w:rFonts w:cs="Wingdings"/>
    </w:rPr>
  </w:style>
  <w:style w:type="character" w:customStyle="1" w:styleId="ListLabel52">
    <w:name w:val="ListLabel 52"/>
    <w:qFormat/>
    <w:rsid w:val="00DD4B90"/>
    <w:rPr>
      <w:rFonts w:cs="Symbol"/>
    </w:rPr>
  </w:style>
  <w:style w:type="character" w:customStyle="1" w:styleId="ListLabel53">
    <w:name w:val="ListLabel 53"/>
    <w:qFormat/>
    <w:rsid w:val="00DD4B90"/>
    <w:rPr>
      <w:rFonts w:cs="Courier New"/>
    </w:rPr>
  </w:style>
  <w:style w:type="character" w:customStyle="1" w:styleId="ListLabel54">
    <w:name w:val="ListLabel 54"/>
    <w:qFormat/>
    <w:rsid w:val="00DD4B90"/>
    <w:rPr>
      <w:rFonts w:cs="Wingdings"/>
    </w:rPr>
  </w:style>
  <w:style w:type="character" w:customStyle="1" w:styleId="ListLabel55">
    <w:name w:val="ListLabel 55"/>
    <w:qFormat/>
    <w:rsid w:val="00DD4B90"/>
    <w:rPr>
      <w:rFonts w:cs="Symbol"/>
    </w:rPr>
  </w:style>
  <w:style w:type="character" w:customStyle="1" w:styleId="ListLabel56">
    <w:name w:val="ListLabel 56"/>
    <w:qFormat/>
    <w:rsid w:val="00DD4B90"/>
    <w:rPr>
      <w:rFonts w:cs="Courier New"/>
    </w:rPr>
  </w:style>
  <w:style w:type="character" w:customStyle="1" w:styleId="ListLabel57">
    <w:name w:val="ListLabel 57"/>
    <w:qFormat/>
    <w:rsid w:val="00DD4B90"/>
    <w:rPr>
      <w:rFonts w:cs="Wingdings"/>
    </w:rPr>
  </w:style>
  <w:style w:type="character" w:customStyle="1" w:styleId="ListLabel58">
    <w:name w:val="ListLabel 58"/>
    <w:qFormat/>
    <w:rsid w:val="00DD4B90"/>
    <w:rPr>
      <w:rFonts w:ascii="Times New Roman" w:hAnsi="Times New Roman" w:cs="Symbol"/>
      <w:color w:val="00000A"/>
      <w:sz w:val="24"/>
    </w:rPr>
  </w:style>
  <w:style w:type="character" w:customStyle="1" w:styleId="ListLabel59">
    <w:name w:val="ListLabel 59"/>
    <w:qFormat/>
    <w:rsid w:val="00DD4B90"/>
    <w:rPr>
      <w:rFonts w:cs="Courier New"/>
    </w:rPr>
  </w:style>
  <w:style w:type="character" w:customStyle="1" w:styleId="ListLabel60">
    <w:name w:val="ListLabel 60"/>
    <w:qFormat/>
    <w:rsid w:val="00DD4B90"/>
    <w:rPr>
      <w:rFonts w:cs="Courier New"/>
    </w:rPr>
  </w:style>
  <w:style w:type="character" w:customStyle="1" w:styleId="ListLabel61">
    <w:name w:val="ListLabel 61"/>
    <w:qFormat/>
    <w:rsid w:val="00DD4B90"/>
    <w:rPr>
      <w:rFonts w:cs="Courier New"/>
    </w:rPr>
  </w:style>
  <w:style w:type="character" w:customStyle="1" w:styleId="ListLabel62">
    <w:name w:val="ListLabel 62"/>
    <w:qFormat/>
    <w:rsid w:val="00DD4B90"/>
    <w:rPr>
      <w:rFonts w:cs="Wingdings"/>
      <w:sz w:val="20"/>
    </w:rPr>
  </w:style>
  <w:style w:type="character" w:customStyle="1" w:styleId="ListLabel63">
    <w:name w:val="ListLabel 63"/>
    <w:qFormat/>
    <w:rsid w:val="00DD4B90"/>
    <w:rPr>
      <w:rFonts w:cs="Wingdings"/>
      <w:sz w:val="20"/>
    </w:rPr>
  </w:style>
  <w:style w:type="character" w:customStyle="1" w:styleId="ListLabel64">
    <w:name w:val="ListLabel 64"/>
    <w:qFormat/>
    <w:rsid w:val="00DD4B90"/>
    <w:rPr>
      <w:rFonts w:cs="Wingdings"/>
      <w:sz w:val="20"/>
    </w:rPr>
  </w:style>
  <w:style w:type="character" w:customStyle="1" w:styleId="ListLabel65">
    <w:name w:val="ListLabel 65"/>
    <w:qFormat/>
    <w:rsid w:val="00DD4B90"/>
    <w:rPr>
      <w:rFonts w:cs="Wingdings"/>
      <w:sz w:val="20"/>
    </w:rPr>
  </w:style>
  <w:style w:type="character" w:customStyle="1" w:styleId="ListLabel66">
    <w:name w:val="ListLabel 66"/>
    <w:qFormat/>
    <w:rsid w:val="00DD4B90"/>
    <w:rPr>
      <w:rFonts w:cs="Wingdings"/>
      <w:sz w:val="20"/>
    </w:rPr>
  </w:style>
  <w:style w:type="character" w:customStyle="1" w:styleId="a5">
    <w:name w:val="Посещённая гиперссылка"/>
    <w:rsid w:val="00DD4B90"/>
    <w:rPr>
      <w:color w:val="800000"/>
      <w:u w:val="single"/>
    </w:rPr>
  </w:style>
  <w:style w:type="character" w:customStyle="1" w:styleId="ListLabel67">
    <w:name w:val="ListLabel 67"/>
    <w:qFormat/>
    <w:rsid w:val="00DD4B90"/>
    <w:rPr>
      <w:rFonts w:ascii="Times New Roman" w:hAnsi="Times New Roman" w:cs="Symbol"/>
      <w:sz w:val="24"/>
    </w:rPr>
  </w:style>
  <w:style w:type="character" w:customStyle="1" w:styleId="ListLabel68">
    <w:name w:val="ListLabel 68"/>
    <w:qFormat/>
    <w:rsid w:val="00DD4B90"/>
    <w:rPr>
      <w:rFonts w:cs="Courier New"/>
    </w:rPr>
  </w:style>
  <w:style w:type="character" w:customStyle="1" w:styleId="ListLabel69">
    <w:name w:val="ListLabel 69"/>
    <w:qFormat/>
    <w:rsid w:val="00DD4B90"/>
    <w:rPr>
      <w:rFonts w:cs="Wingdings"/>
    </w:rPr>
  </w:style>
  <w:style w:type="character" w:customStyle="1" w:styleId="ListLabel70">
    <w:name w:val="ListLabel 70"/>
    <w:qFormat/>
    <w:rsid w:val="00DD4B90"/>
    <w:rPr>
      <w:rFonts w:cs="Symbol"/>
    </w:rPr>
  </w:style>
  <w:style w:type="character" w:customStyle="1" w:styleId="ListLabel71">
    <w:name w:val="ListLabel 71"/>
    <w:qFormat/>
    <w:rsid w:val="00DD4B90"/>
    <w:rPr>
      <w:rFonts w:cs="Courier New"/>
    </w:rPr>
  </w:style>
  <w:style w:type="character" w:customStyle="1" w:styleId="ListLabel72">
    <w:name w:val="ListLabel 72"/>
    <w:qFormat/>
    <w:rsid w:val="00DD4B90"/>
    <w:rPr>
      <w:rFonts w:cs="Wingdings"/>
    </w:rPr>
  </w:style>
  <w:style w:type="character" w:customStyle="1" w:styleId="ListLabel73">
    <w:name w:val="ListLabel 73"/>
    <w:qFormat/>
    <w:rsid w:val="00DD4B90"/>
    <w:rPr>
      <w:rFonts w:cs="Symbol"/>
    </w:rPr>
  </w:style>
  <w:style w:type="character" w:customStyle="1" w:styleId="ListLabel74">
    <w:name w:val="ListLabel 74"/>
    <w:qFormat/>
    <w:rsid w:val="00DD4B90"/>
    <w:rPr>
      <w:rFonts w:cs="Courier New"/>
    </w:rPr>
  </w:style>
  <w:style w:type="character" w:customStyle="1" w:styleId="ListLabel75">
    <w:name w:val="ListLabel 75"/>
    <w:qFormat/>
    <w:rsid w:val="00DD4B90"/>
    <w:rPr>
      <w:rFonts w:cs="Wingdings"/>
    </w:rPr>
  </w:style>
  <w:style w:type="character" w:customStyle="1" w:styleId="ListLabel76">
    <w:name w:val="ListLabel 76"/>
    <w:qFormat/>
    <w:rsid w:val="00DD4B90"/>
    <w:rPr>
      <w:rFonts w:ascii="Times New Roman" w:hAnsi="Times New Roman" w:cs="Symbol"/>
      <w:color w:val="00000A"/>
      <w:sz w:val="24"/>
    </w:rPr>
  </w:style>
  <w:style w:type="character" w:customStyle="1" w:styleId="ListLabel77">
    <w:name w:val="ListLabel 77"/>
    <w:qFormat/>
    <w:rsid w:val="00DD4B90"/>
    <w:rPr>
      <w:rFonts w:cs="Courier New"/>
    </w:rPr>
  </w:style>
  <w:style w:type="character" w:customStyle="1" w:styleId="ListLabel78">
    <w:name w:val="ListLabel 78"/>
    <w:qFormat/>
    <w:rsid w:val="00DD4B90"/>
    <w:rPr>
      <w:rFonts w:cs="Courier New"/>
    </w:rPr>
  </w:style>
  <w:style w:type="character" w:customStyle="1" w:styleId="ListLabel79">
    <w:name w:val="ListLabel 79"/>
    <w:qFormat/>
    <w:rsid w:val="00DD4B90"/>
    <w:rPr>
      <w:rFonts w:cs="Courier New"/>
    </w:rPr>
  </w:style>
  <w:style w:type="character" w:customStyle="1" w:styleId="ListLabel80">
    <w:name w:val="ListLabel 80"/>
    <w:qFormat/>
    <w:rsid w:val="00DD4B90"/>
    <w:rPr>
      <w:rFonts w:cs="Wingdings"/>
      <w:sz w:val="20"/>
    </w:rPr>
  </w:style>
  <w:style w:type="character" w:customStyle="1" w:styleId="ListLabel81">
    <w:name w:val="ListLabel 81"/>
    <w:qFormat/>
    <w:rsid w:val="00DD4B90"/>
    <w:rPr>
      <w:rFonts w:cs="Wingdings"/>
      <w:sz w:val="20"/>
    </w:rPr>
  </w:style>
  <w:style w:type="character" w:customStyle="1" w:styleId="ListLabel82">
    <w:name w:val="ListLabel 82"/>
    <w:qFormat/>
    <w:rsid w:val="00DD4B90"/>
    <w:rPr>
      <w:rFonts w:cs="Wingdings"/>
      <w:sz w:val="20"/>
    </w:rPr>
  </w:style>
  <w:style w:type="character" w:customStyle="1" w:styleId="ListLabel83">
    <w:name w:val="ListLabel 83"/>
    <w:qFormat/>
    <w:rsid w:val="00DD4B90"/>
    <w:rPr>
      <w:rFonts w:cs="Wingdings"/>
      <w:sz w:val="20"/>
    </w:rPr>
  </w:style>
  <w:style w:type="character" w:customStyle="1" w:styleId="ListLabel84">
    <w:name w:val="ListLabel 84"/>
    <w:qFormat/>
    <w:rsid w:val="00DD4B90"/>
    <w:rPr>
      <w:rFonts w:cs="Wingdings"/>
      <w:sz w:val="20"/>
    </w:rPr>
  </w:style>
  <w:style w:type="character" w:customStyle="1" w:styleId="ListLabel85">
    <w:name w:val="ListLabel 85"/>
    <w:qFormat/>
    <w:rsid w:val="00DD4B90"/>
    <w:rPr>
      <w:rFonts w:ascii="Times New Roman" w:hAnsi="Times New Roman" w:cs="Symbol"/>
      <w:sz w:val="24"/>
    </w:rPr>
  </w:style>
  <w:style w:type="character" w:customStyle="1" w:styleId="ListLabel86">
    <w:name w:val="ListLabel 86"/>
    <w:qFormat/>
    <w:rsid w:val="00DD4B90"/>
    <w:rPr>
      <w:rFonts w:cs="Courier New"/>
    </w:rPr>
  </w:style>
  <w:style w:type="character" w:customStyle="1" w:styleId="ListLabel87">
    <w:name w:val="ListLabel 87"/>
    <w:qFormat/>
    <w:rsid w:val="00DD4B90"/>
    <w:rPr>
      <w:rFonts w:cs="Wingdings"/>
    </w:rPr>
  </w:style>
  <w:style w:type="character" w:customStyle="1" w:styleId="ListLabel88">
    <w:name w:val="ListLabel 88"/>
    <w:qFormat/>
    <w:rsid w:val="00DD4B90"/>
    <w:rPr>
      <w:rFonts w:cs="Symbol"/>
    </w:rPr>
  </w:style>
  <w:style w:type="character" w:customStyle="1" w:styleId="ListLabel89">
    <w:name w:val="ListLabel 89"/>
    <w:qFormat/>
    <w:rsid w:val="00DD4B90"/>
    <w:rPr>
      <w:rFonts w:cs="Courier New"/>
    </w:rPr>
  </w:style>
  <w:style w:type="character" w:customStyle="1" w:styleId="ListLabel90">
    <w:name w:val="ListLabel 90"/>
    <w:qFormat/>
    <w:rsid w:val="00DD4B90"/>
    <w:rPr>
      <w:rFonts w:cs="Wingdings"/>
    </w:rPr>
  </w:style>
  <w:style w:type="character" w:customStyle="1" w:styleId="ListLabel91">
    <w:name w:val="ListLabel 91"/>
    <w:qFormat/>
    <w:rsid w:val="00DD4B90"/>
    <w:rPr>
      <w:rFonts w:cs="Symbol"/>
    </w:rPr>
  </w:style>
  <w:style w:type="character" w:customStyle="1" w:styleId="ListLabel92">
    <w:name w:val="ListLabel 92"/>
    <w:qFormat/>
    <w:rsid w:val="00DD4B90"/>
    <w:rPr>
      <w:rFonts w:cs="Courier New"/>
    </w:rPr>
  </w:style>
  <w:style w:type="character" w:customStyle="1" w:styleId="ListLabel93">
    <w:name w:val="ListLabel 93"/>
    <w:qFormat/>
    <w:rsid w:val="00DD4B90"/>
    <w:rPr>
      <w:rFonts w:cs="Wingdings"/>
    </w:rPr>
  </w:style>
  <w:style w:type="character" w:customStyle="1" w:styleId="ListLabel94">
    <w:name w:val="ListLabel 94"/>
    <w:qFormat/>
    <w:rsid w:val="00DD4B90"/>
    <w:rPr>
      <w:rFonts w:ascii="Times New Roman" w:hAnsi="Times New Roman" w:cs="Symbol"/>
      <w:color w:val="00000A"/>
      <w:sz w:val="24"/>
    </w:rPr>
  </w:style>
  <w:style w:type="character" w:customStyle="1" w:styleId="ListLabel95">
    <w:name w:val="ListLabel 95"/>
    <w:qFormat/>
    <w:rsid w:val="00DD4B90"/>
    <w:rPr>
      <w:rFonts w:cs="Courier New"/>
    </w:rPr>
  </w:style>
  <w:style w:type="character" w:customStyle="1" w:styleId="ListLabel96">
    <w:name w:val="ListLabel 96"/>
    <w:qFormat/>
    <w:rsid w:val="00DD4B90"/>
    <w:rPr>
      <w:rFonts w:cs="Courier New"/>
    </w:rPr>
  </w:style>
  <w:style w:type="character" w:customStyle="1" w:styleId="ListLabel97">
    <w:name w:val="ListLabel 97"/>
    <w:qFormat/>
    <w:rsid w:val="00DD4B90"/>
    <w:rPr>
      <w:rFonts w:cs="Courier New"/>
    </w:rPr>
  </w:style>
  <w:style w:type="character" w:customStyle="1" w:styleId="ListLabel98">
    <w:name w:val="ListLabel 98"/>
    <w:qFormat/>
    <w:rsid w:val="00DD4B90"/>
    <w:rPr>
      <w:rFonts w:cs="Wingdings"/>
      <w:sz w:val="20"/>
    </w:rPr>
  </w:style>
  <w:style w:type="character" w:customStyle="1" w:styleId="ListLabel99">
    <w:name w:val="ListLabel 99"/>
    <w:qFormat/>
    <w:rsid w:val="00DD4B90"/>
    <w:rPr>
      <w:rFonts w:cs="Wingdings"/>
      <w:sz w:val="20"/>
    </w:rPr>
  </w:style>
  <w:style w:type="character" w:customStyle="1" w:styleId="ListLabel100">
    <w:name w:val="ListLabel 100"/>
    <w:qFormat/>
    <w:rsid w:val="00DD4B90"/>
    <w:rPr>
      <w:rFonts w:cs="Wingdings"/>
      <w:sz w:val="20"/>
    </w:rPr>
  </w:style>
  <w:style w:type="character" w:customStyle="1" w:styleId="ListLabel101">
    <w:name w:val="ListLabel 101"/>
    <w:qFormat/>
    <w:rsid w:val="00DD4B90"/>
    <w:rPr>
      <w:rFonts w:cs="Wingdings"/>
      <w:sz w:val="20"/>
    </w:rPr>
  </w:style>
  <w:style w:type="character" w:customStyle="1" w:styleId="ListLabel102">
    <w:name w:val="ListLabel 102"/>
    <w:qFormat/>
    <w:rsid w:val="00DD4B90"/>
    <w:rPr>
      <w:rFonts w:cs="Wingdings"/>
      <w:sz w:val="20"/>
    </w:rPr>
  </w:style>
  <w:style w:type="character" w:customStyle="1" w:styleId="ListLabel103">
    <w:name w:val="ListLabel 103"/>
    <w:qFormat/>
    <w:rsid w:val="00DD4B90"/>
    <w:rPr>
      <w:rFonts w:ascii="Times New Roman" w:hAnsi="Times New Roman" w:cs="Symbol"/>
      <w:sz w:val="24"/>
    </w:rPr>
  </w:style>
  <w:style w:type="character" w:customStyle="1" w:styleId="ListLabel104">
    <w:name w:val="ListLabel 104"/>
    <w:qFormat/>
    <w:rsid w:val="00DD4B90"/>
    <w:rPr>
      <w:rFonts w:cs="Courier New"/>
    </w:rPr>
  </w:style>
  <w:style w:type="character" w:customStyle="1" w:styleId="ListLabel105">
    <w:name w:val="ListLabel 105"/>
    <w:qFormat/>
    <w:rsid w:val="00DD4B90"/>
    <w:rPr>
      <w:rFonts w:cs="Wingdings"/>
    </w:rPr>
  </w:style>
  <w:style w:type="character" w:customStyle="1" w:styleId="ListLabel106">
    <w:name w:val="ListLabel 106"/>
    <w:qFormat/>
    <w:rsid w:val="00DD4B90"/>
    <w:rPr>
      <w:rFonts w:cs="Symbol"/>
    </w:rPr>
  </w:style>
  <w:style w:type="character" w:customStyle="1" w:styleId="ListLabel107">
    <w:name w:val="ListLabel 107"/>
    <w:qFormat/>
    <w:rsid w:val="00DD4B90"/>
    <w:rPr>
      <w:rFonts w:cs="Courier New"/>
    </w:rPr>
  </w:style>
  <w:style w:type="character" w:customStyle="1" w:styleId="ListLabel108">
    <w:name w:val="ListLabel 108"/>
    <w:qFormat/>
    <w:rsid w:val="00DD4B90"/>
    <w:rPr>
      <w:rFonts w:cs="Wingdings"/>
    </w:rPr>
  </w:style>
  <w:style w:type="character" w:customStyle="1" w:styleId="ListLabel109">
    <w:name w:val="ListLabel 109"/>
    <w:qFormat/>
    <w:rsid w:val="00DD4B90"/>
    <w:rPr>
      <w:rFonts w:cs="Symbol"/>
    </w:rPr>
  </w:style>
  <w:style w:type="character" w:customStyle="1" w:styleId="ListLabel110">
    <w:name w:val="ListLabel 110"/>
    <w:qFormat/>
    <w:rsid w:val="00DD4B90"/>
    <w:rPr>
      <w:rFonts w:cs="Courier New"/>
    </w:rPr>
  </w:style>
  <w:style w:type="character" w:customStyle="1" w:styleId="ListLabel111">
    <w:name w:val="ListLabel 111"/>
    <w:qFormat/>
    <w:rsid w:val="00DD4B90"/>
    <w:rPr>
      <w:rFonts w:cs="Wingdings"/>
    </w:rPr>
  </w:style>
  <w:style w:type="character" w:customStyle="1" w:styleId="ListLabel112">
    <w:name w:val="ListLabel 112"/>
    <w:qFormat/>
    <w:rsid w:val="00DD4B90"/>
    <w:rPr>
      <w:rFonts w:ascii="Times New Roman" w:hAnsi="Times New Roman" w:cs="Symbol"/>
      <w:color w:val="00000A"/>
      <w:sz w:val="24"/>
    </w:rPr>
  </w:style>
  <w:style w:type="character" w:customStyle="1" w:styleId="ListLabel113">
    <w:name w:val="ListLabel 113"/>
    <w:qFormat/>
    <w:rsid w:val="00DD4B90"/>
    <w:rPr>
      <w:rFonts w:cs="Courier New"/>
    </w:rPr>
  </w:style>
  <w:style w:type="character" w:customStyle="1" w:styleId="ListLabel114">
    <w:name w:val="ListLabel 114"/>
    <w:qFormat/>
    <w:rsid w:val="00DD4B90"/>
    <w:rPr>
      <w:rFonts w:cs="Courier New"/>
    </w:rPr>
  </w:style>
  <w:style w:type="character" w:customStyle="1" w:styleId="ListLabel115">
    <w:name w:val="ListLabel 115"/>
    <w:qFormat/>
    <w:rsid w:val="00DD4B90"/>
    <w:rPr>
      <w:rFonts w:cs="Courier New"/>
    </w:rPr>
  </w:style>
  <w:style w:type="character" w:customStyle="1" w:styleId="ListLabel116">
    <w:name w:val="ListLabel 116"/>
    <w:qFormat/>
    <w:rsid w:val="00DD4B90"/>
    <w:rPr>
      <w:rFonts w:cs="Wingdings"/>
      <w:sz w:val="20"/>
    </w:rPr>
  </w:style>
  <w:style w:type="character" w:customStyle="1" w:styleId="ListLabel117">
    <w:name w:val="ListLabel 117"/>
    <w:qFormat/>
    <w:rsid w:val="00DD4B90"/>
    <w:rPr>
      <w:rFonts w:cs="Wingdings"/>
      <w:sz w:val="20"/>
    </w:rPr>
  </w:style>
  <w:style w:type="character" w:customStyle="1" w:styleId="ListLabel118">
    <w:name w:val="ListLabel 118"/>
    <w:qFormat/>
    <w:rsid w:val="00DD4B90"/>
    <w:rPr>
      <w:rFonts w:cs="Wingdings"/>
      <w:sz w:val="20"/>
    </w:rPr>
  </w:style>
  <w:style w:type="character" w:customStyle="1" w:styleId="ListLabel119">
    <w:name w:val="ListLabel 119"/>
    <w:qFormat/>
    <w:rsid w:val="00DD4B90"/>
    <w:rPr>
      <w:rFonts w:cs="Wingdings"/>
      <w:sz w:val="20"/>
    </w:rPr>
  </w:style>
  <w:style w:type="character" w:customStyle="1" w:styleId="ListLabel120">
    <w:name w:val="ListLabel 120"/>
    <w:qFormat/>
    <w:rsid w:val="00DD4B90"/>
    <w:rPr>
      <w:rFonts w:cs="Wingdings"/>
      <w:sz w:val="20"/>
    </w:rPr>
  </w:style>
  <w:style w:type="character" w:customStyle="1" w:styleId="ListLabel121">
    <w:name w:val="ListLabel 121"/>
    <w:qFormat/>
    <w:rsid w:val="00DD4B90"/>
    <w:rPr>
      <w:rFonts w:ascii="Times New Roman" w:hAnsi="Times New Roman" w:cs="Symbol"/>
      <w:sz w:val="24"/>
    </w:rPr>
  </w:style>
  <w:style w:type="character" w:customStyle="1" w:styleId="ListLabel122">
    <w:name w:val="ListLabel 122"/>
    <w:qFormat/>
    <w:rsid w:val="00DD4B90"/>
    <w:rPr>
      <w:rFonts w:cs="Courier New"/>
    </w:rPr>
  </w:style>
  <w:style w:type="character" w:customStyle="1" w:styleId="ListLabel123">
    <w:name w:val="ListLabel 123"/>
    <w:qFormat/>
    <w:rsid w:val="00DD4B90"/>
    <w:rPr>
      <w:rFonts w:cs="Wingdings"/>
    </w:rPr>
  </w:style>
  <w:style w:type="character" w:customStyle="1" w:styleId="ListLabel124">
    <w:name w:val="ListLabel 124"/>
    <w:qFormat/>
    <w:rsid w:val="00DD4B90"/>
    <w:rPr>
      <w:rFonts w:cs="Symbol"/>
    </w:rPr>
  </w:style>
  <w:style w:type="character" w:customStyle="1" w:styleId="ListLabel125">
    <w:name w:val="ListLabel 125"/>
    <w:qFormat/>
    <w:rsid w:val="00DD4B90"/>
    <w:rPr>
      <w:rFonts w:cs="Courier New"/>
    </w:rPr>
  </w:style>
  <w:style w:type="character" w:customStyle="1" w:styleId="ListLabel126">
    <w:name w:val="ListLabel 126"/>
    <w:qFormat/>
    <w:rsid w:val="00DD4B90"/>
    <w:rPr>
      <w:rFonts w:cs="Wingdings"/>
    </w:rPr>
  </w:style>
  <w:style w:type="character" w:customStyle="1" w:styleId="ListLabel127">
    <w:name w:val="ListLabel 127"/>
    <w:qFormat/>
    <w:rsid w:val="00DD4B90"/>
    <w:rPr>
      <w:rFonts w:cs="Symbol"/>
    </w:rPr>
  </w:style>
  <w:style w:type="character" w:customStyle="1" w:styleId="ListLabel128">
    <w:name w:val="ListLabel 128"/>
    <w:qFormat/>
    <w:rsid w:val="00DD4B90"/>
    <w:rPr>
      <w:rFonts w:cs="Courier New"/>
    </w:rPr>
  </w:style>
  <w:style w:type="character" w:customStyle="1" w:styleId="ListLabel129">
    <w:name w:val="ListLabel 129"/>
    <w:qFormat/>
    <w:rsid w:val="00DD4B90"/>
    <w:rPr>
      <w:rFonts w:cs="Wingdings"/>
    </w:rPr>
  </w:style>
  <w:style w:type="character" w:customStyle="1" w:styleId="ListLabel130">
    <w:name w:val="ListLabel 130"/>
    <w:qFormat/>
    <w:rsid w:val="00DD4B90"/>
    <w:rPr>
      <w:rFonts w:ascii="Times New Roman" w:hAnsi="Times New Roman" w:cs="Symbol"/>
      <w:color w:val="00000A"/>
      <w:sz w:val="24"/>
    </w:rPr>
  </w:style>
  <w:style w:type="character" w:customStyle="1" w:styleId="ListLabel131">
    <w:name w:val="ListLabel 131"/>
    <w:qFormat/>
    <w:rsid w:val="00DD4B90"/>
    <w:rPr>
      <w:rFonts w:cs="Courier New"/>
    </w:rPr>
  </w:style>
  <w:style w:type="character" w:customStyle="1" w:styleId="ListLabel132">
    <w:name w:val="ListLabel 132"/>
    <w:qFormat/>
    <w:rsid w:val="00DD4B90"/>
    <w:rPr>
      <w:rFonts w:cs="Courier New"/>
    </w:rPr>
  </w:style>
  <w:style w:type="character" w:customStyle="1" w:styleId="ListLabel133">
    <w:name w:val="ListLabel 133"/>
    <w:qFormat/>
    <w:rsid w:val="00DD4B90"/>
    <w:rPr>
      <w:rFonts w:cs="Courier New"/>
    </w:rPr>
  </w:style>
  <w:style w:type="character" w:customStyle="1" w:styleId="ListLabel134">
    <w:name w:val="ListLabel 134"/>
    <w:qFormat/>
    <w:rsid w:val="00DD4B90"/>
    <w:rPr>
      <w:rFonts w:cs="Wingdings"/>
      <w:sz w:val="20"/>
    </w:rPr>
  </w:style>
  <w:style w:type="character" w:customStyle="1" w:styleId="ListLabel135">
    <w:name w:val="ListLabel 135"/>
    <w:qFormat/>
    <w:rsid w:val="00DD4B90"/>
    <w:rPr>
      <w:rFonts w:cs="Wingdings"/>
      <w:sz w:val="20"/>
    </w:rPr>
  </w:style>
  <w:style w:type="character" w:customStyle="1" w:styleId="ListLabel136">
    <w:name w:val="ListLabel 136"/>
    <w:qFormat/>
    <w:rsid w:val="00DD4B90"/>
    <w:rPr>
      <w:rFonts w:cs="Wingdings"/>
      <w:sz w:val="20"/>
    </w:rPr>
  </w:style>
  <w:style w:type="character" w:customStyle="1" w:styleId="ListLabel137">
    <w:name w:val="ListLabel 137"/>
    <w:qFormat/>
    <w:rsid w:val="00DD4B90"/>
    <w:rPr>
      <w:rFonts w:cs="Wingdings"/>
      <w:sz w:val="20"/>
    </w:rPr>
  </w:style>
  <w:style w:type="character" w:customStyle="1" w:styleId="ListLabel138">
    <w:name w:val="ListLabel 138"/>
    <w:qFormat/>
    <w:rsid w:val="00DD4B90"/>
    <w:rPr>
      <w:rFonts w:cs="Wingdings"/>
      <w:sz w:val="20"/>
    </w:rPr>
  </w:style>
  <w:style w:type="paragraph" w:customStyle="1" w:styleId="a6">
    <w:name w:val="Заголовок"/>
    <w:basedOn w:val="a"/>
    <w:next w:val="a7"/>
    <w:qFormat/>
    <w:rsid w:val="00DD4B9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7">
    <w:name w:val="Body Text"/>
    <w:basedOn w:val="a"/>
    <w:uiPriority w:val="99"/>
    <w:rsid w:val="006D53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sid w:val="00DD4B90"/>
    <w:rPr>
      <w:rFonts w:cs="DejaVu Sans"/>
    </w:rPr>
  </w:style>
  <w:style w:type="paragraph" w:customStyle="1" w:styleId="Caption">
    <w:name w:val="Caption"/>
    <w:basedOn w:val="a"/>
    <w:qFormat/>
    <w:rsid w:val="00DD4B9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9">
    <w:name w:val="index heading"/>
    <w:basedOn w:val="a"/>
    <w:qFormat/>
    <w:rsid w:val="00DD4B90"/>
    <w:pPr>
      <w:suppressLineNumbers/>
    </w:pPr>
    <w:rPr>
      <w:rFonts w:cs="DejaVu Sans"/>
    </w:rPr>
  </w:style>
  <w:style w:type="paragraph" w:customStyle="1" w:styleId="Default">
    <w:name w:val="Default"/>
    <w:qFormat/>
    <w:rsid w:val="00F84DDB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F84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qFormat/>
    <w:rsid w:val="00D51917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ConsPlusNormal">
    <w:name w:val="ConsPlusNormal"/>
    <w:qFormat/>
    <w:rsid w:val="003E2385"/>
    <w:pPr>
      <w:widowControl w:val="0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Nonformat">
    <w:name w:val="ConsPlusNonformat"/>
    <w:uiPriority w:val="99"/>
    <w:qFormat/>
    <w:rsid w:val="003E2385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styleId="20">
    <w:name w:val="Body Text Indent 2"/>
    <w:basedOn w:val="a"/>
    <w:qFormat/>
    <w:rsid w:val="006D539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sid w:val="000C278C"/>
    <w:pPr>
      <w:widowControl w:val="0"/>
    </w:pPr>
    <w:rPr>
      <w:rFonts w:eastAsia="Times New Roman" w:cs="Calibri"/>
      <w:b/>
      <w:bCs/>
      <w:color w:val="00000A"/>
      <w:sz w:val="22"/>
    </w:rPr>
  </w:style>
  <w:style w:type="paragraph" w:customStyle="1" w:styleId="western">
    <w:name w:val="western"/>
    <w:basedOn w:val="a"/>
    <w:qFormat/>
    <w:rsid w:val="003A128B"/>
    <w:pPr>
      <w:spacing w:beforeAutospacing="1" w:after="115"/>
    </w:pPr>
    <w:rPr>
      <w:rFonts w:ascii="Calibri" w:eastAsia="Times New Roman" w:hAnsi="Calibri" w:cs="Calibri"/>
      <w:color w:val="000000"/>
    </w:rPr>
  </w:style>
  <w:style w:type="paragraph" w:customStyle="1" w:styleId="ab">
    <w:name w:val="Содержимое таблицы"/>
    <w:basedOn w:val="a"/>
    <w:qFormat/>
    <w:rsid w:val="00DD4B90"/>
  </w:style>
  <w:style w:type="paragraph" w:customStyle="1" w:styleId="ac">
    <w:name w:val="Заголовок таблицы"/>
    <w:basedOn w:val="ab"/>
    <w:qFormat/>
    <w:rsid w:val="00DD4B90"/>
  </w:style>
  <w:style w:type="table" w:styleId="ad">
    <w:name w:val="Table Grid"/>
    <w:basedOn w:val="a1"/>
    <w:uiPriority w:val="59"/>
    <w:rsid w:val="00BE5E9D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home\KIMOVSK\lasareva\&#1056;&#1072;&#1073;&#1086;&#1095;&#1080;&#1081;%20&#1089;&#1090;&#1086;&#1083;\&#1044;&#1086;&#1082;&#1091;&#1084;&#1077;&#1085;&#1090;&#1099;\&#1089;%20&#1088;&#1072;&#1073;&#1086;&#1095;&#1077;&#1075;&#1086;%20&#1089;&#1090;&#1086;&#1083;&#1072;\&#1051;&#1072;&#1079;&#1072;&#1088;&#1077;&#1074;&#1072;\&#1054;&#1090;&#1095;&#1077;&#1090;%20&#1087;&#1086;%20&#1087;&#1088;&#1086;&#1075;&#1088;&#1072;&#1084;&#1084;&#1077;\&#1086;&#1090;&#1095;&#1077;&#1090;%20&#1079;&#1072;%202015%20&#1075;&#1086;&#1076;\&#1086;&#1087;&#1091;&#1073;&#1083;&#1080;&#1082;&#1086;&#1074;&#1072;&#1083;&#1080;%20&#1085;&#1072;%20&#1089;&#1072;&#1081;&#1090;\D:\&#1052;&#1054;&#1048;%20&#1044;&#1054;&#1050;&#1059;&#1052;&#1045;&#1053;&#1058;&#1067;\&#1040;&#1044;&#1052;&#1048;&#1053;&#1048;&#1057;&#1058;&#1056;&#1040;&#1062;&#1048;&#1071;\&#1040;&#1044;&#1052;&#1048;&#1053;&#1048;&#1057;&#1058;&#1056;&#1040;&#1062;&#1048;&#1071;%20&#1069;&#1050;&#1054;&#1053;&#1054;&#1052;&#1048;&#1050;&#1040;\&#1057;&#1074;&#1077;&#1090;&#1080;&#1082;&#1086;&#1074;&#1072;%20&#8470;%202518%20&#1086;&#1090;%2024.12.201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970D25-0765-4D86-B588-66F1812E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5556</Words>
  <Characters>31675</Characters>
  <Application>Microsoft Office Word</Application>
  <DocSecurity>0</DocSecurity>
  <Lines>263</Lines>
  <Paragraphs>74</Paragraphs>
  <ScaleCrop>false</ScaleCrop>
  <Company>Microsoft</Company>
  <LinksUpToDate>false</LinksUpToDate>
  <CharactersWithSpaces>37157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arndt</dc:creator>
  <cp:lastModifiedBy>Sined71</cp:lastModifiedBy>
  <cp:revision>2</cp:revision>
  <cp:lastPrinted>2016-02-08T06:43:00Z</cp:lastPrinted>
  <dcterms:created xsi:type="dcterms:W3CDTF">2017-02-06T16:09:00Z</dcterms:created>
  <dcterms:modified xsi:type="dcterms:W3CDTF">2017-02-06T16:09:00Z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