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613"/>
      </w:tblGrid>
      <w:tr w:rsidR="00F47F1C" w:rsidRPr="00BE1121" w:rsidTr="00A9350D">
        <w:tc>
          <w:tcPr>
            <w:tcW w:w="10421" w:type="dxa"/>
            <w:gridSpan w:val="2"/>
            <w:hideMark/>
          </w:tcPr>
          <w:p w:rsidR="00F47F1C" w:rsidRPr="00BE1121" w:rsidRDefault="00F47F1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2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47F1C" w:rsidRPr="00BE1121" w:rsidTr="00A9350D">
        <w:tc>
          <w:tcPr>
            <w:tcW w:w="10421" w:type="dxa"/>
            <w:gridSpan w:val="2"/>
            <w:hideMark/>
          </w:tcPr>
          <w:p w:rsidR="00F47F1C" w:rsidRPr="00BE1121" w:rsidRDefault="00F47F1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2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47F1C" w:rsidRPr="00BE1121" w:rsidTr="00A9350D">
        <w:tc>
          <w:tcPr>
            <w:tcW w:w="10421" w:type="dxa"/>
            <w:gridSpan w:val="2"/>
          </w:tcPr>
          <w:p w:rsidR="00F47F1C" w:rsidRPr="00BE1121" w:rsidRDefault="00F47F1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2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47F1C" w:rsidRPr="00BE1121" w:rsidRDefault="00F47F1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7F1C" w:rsidRPr="00BE1121" w:rsidRDefault="00F47F1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7F1C" w:rsidRPr="00BE1121" w:rsidTr="00A9350D">
        <w:tc>
          <w:tcPr>
            <w:tcW w:w="10421" w:type="dxa"/>
            <w:gridSpan w:val="2"/>
            <w:hideMark/>
          </w:tcPr>
          <w:p w:rsidR="00F47F1C" w:rsidRPr="00BE1121" w:rsidRDefault="00F47F1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2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47F1C" w:rsidRPr="00BE1121" w:rsidTr="00A9350D">
        <w:tc>
          <w:tcPr>
            <w:tcW w:w="10421" w:type="dxa"/>
            <w:gridSpan w:val="2"/>
          </w:tcPr>
          <w:p w:rsidR="00F47F1C" w:rsidRPr="00BE1121" w:rsidRDefault="00F47F1C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7F1C" w:rsidRPr="00BE1121" w:rsidTr="00A9350D">
        <w:tc>
          <w:tcPr>
            <w:tcW w:w="5210" w:type="dxa"/>
            <w:hideMark/>
          </w:tcPr>
          <w:p w:rsidR="00F47F1C" w:rsidRPr="00BE1121" w:rsidRDefault="00F47F1C" w:rsidP="00F47F1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21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</w:rPr>
              <w:t>19</w:t>
            </w:r>
            <w:r w:rsidRPr="00BE1121">
              <w:rPr>
                <w:rFonts w:ascii="Arial" w:hAnsi="Arial" w:cs="Arial"/>
                <w:b/>
              </w:rPr>
              <w:t xml:space="preserve"> но</w:t>
            </w:r>
            <w:r w:rsidRPr="00BE1121">
              <w:rPr>
                <w:rFonts w:ascii="Arial" w:hAnsi="Arial" w:cs="Arial"/>
                <w:b/>
                <w:sz w:val="24"/>
                <w:szCs w:val="24"/>
              </w:rPr>
              <w:t xml:space="preserve">ября 2021 г. </w:t>
            </w:r>
          </w:p>
        </w:tc>
        <w:tc>
          <w:tcPr>
            <w:tcW w:w="5211" w:type="dxa"/>
            <w:hideMark/>
          </w:tcPr>
          <w:p w:rsidR="00F47F1C" w:rsidRPr="00BE1121" w:rsidRDefault="00F47F1C" w:rsidP="00C6460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12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Pr="00BE1121">
              <w:rPr>
                <w:rFonts w:ascii="Arial" w:hAnsi="Arial" w:cs="Arial"/>
                <w:b/>
              </w:rPr>
              <w:t>12</w:t>
            </w:r>
            <w:r w:rsidR="00C6460B">
              <w:rPr>
                <w:rFonts w:ascii="Arial" w:hAnsi="Arial" w:cs="Arial"/>
                <w:b/>
              </w:rPr>
              <w:t>39</w:t>
            </w:r>
            <w:bookmarkStart w:id="0" w:name="_GoBack"/>
            <w:bookmarkEnd w:id="0"/>
          </w:p>
        </w:tc>
      </w:tr>
    </w:tbl>
    <w:p w:rsidR="00F47F1C" w:rsidRPr="00BE1121" w:rsidRDefault="00F47F1C" w:rsidP="00BE11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47F1C" w:rsidRDefault="00F47F1C" w:rsidP="00F47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F1C" w:rsidRPr="00F47F1C" w:rsidRDefault="00F47F1C" w:rsidP="00F47F1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47F1C">
        <w:rPr>
          <w:rFonts w:ascii="Arial" w:hAnsi="Arial" w:cs="Arial"/>
          <w:b/>
          <w:sz w:val="32"/>
          <w:szCs w:val="32"/>
        </w:rPr>
        <w:t xml:space="preserve">Об утверждении Программы муниципального образования Кимовский район «Обеспечение доступным и комфортным жильем населения Кимовского района на 2021-2025 годы» </w:t>
      </w:r>
    </w:p>
    <w:p w:rsidR="00F47F1C" w:rsidRPr="00F47F1C" w:rsidRDefault="00F47F1C" w:rsidP="00F47F1C">
      <w:pPr>
        <w:spacing w:after="0" w:line="240" w:lineRule="auto"/>
        <w:ind w:firstLine="900"/>
        <w:rPr>
          <w:rFonts w:ascii="Arial" w:hAnsi="Arial" w:cs="Arial"/>
          <w:sz w:val="24"/>
          <w:szCs w:val="24"/>
        </w:rPr>
      </w:pPr>
    </w:p>
    <w:p w:rsidR="00F47F1C" w:rsidRPr="00F47F1C" w:rsidRDefault="00F47F1C" w:rsidP="00F47F1C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F47F1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Кимовский район от 04.12.2013 №2417 «Об утверждении 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F47F1C">
        <w:rPr>
          <w:rFonts w:ascii="Arial" w:hAnsi="Arial" w:cs="Arial"/>
          <w:sz w:val="24"/>
          <w:szCs w:val="24"/>
        </w:rPr>
        <w:t>разработки, реализации и оценки эффективности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F47F1C">
        <w:rPr>
          <w:rFonts w:ascii="Arial" w:hAnsi="Arial" w:cs="Arial"/>
          <w:sz w:val="24"/>
          <w:szCs w:val="24"/>
        </w:rPr>
        <w:t>муниципальных программ муниципального образования Кимовский район», на основании Устава муниципального образования Кимовский район, 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F47F1C">
        <w:rPr>
          <w:rFonts w:ascii="Arial" w:hAnsi="Arial" w:cs="Arial"/>
          <w:sz w:val="24"/>
          <w:szCs w:val="24"/>
        </w:rPr>
        <w:t>муниципального образования Кимовский район постановляет:</w:t>
      </w:r>
      <w:proofErr w:type="gramEnd"/>
    </w:p>
    <w:p w:rsidR="00F47F1C" w:rsidRPr="00F47F1C" w:rsidRDefault="00F47F1C" w:rsidP="00F47F1C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47F1C">
        <w:rPr>
          <w:rFonts w:ascii="Arial" w:hAnsi="Arial" w:cs="Arial"/>
          <w:sz w:val="24"/>
          <w:szCs w:val="24"/>
        </w:rPr>
        <w:t>1. Утвердить Программу муниципального образования Кимовский район «Обеспечение доступным и комфортным жильем населения Кимовский район на 2021-2025 годы» (приложение).</w:t>
      </w:r>
    </w:p>
    <w:p w:rsidR="00F47F1C" w:rsidRPr="00F47F1C" w:rsidRDefault="00F47F1C" w:rsidP="00F47F1C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47F1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47F1C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F47F1C">
        <w:rPr>
          <w:rFonts w:ascii="Arial" w:hAnsi="Arial" w:cs="Arial"/>
          <w:sz w:val="24"/>
          <w:szCs w:val="24"/>
        </w:rPr>
        <w:t>Кимовская</w:t>
      </w:r>
      <w:proofErr w:type="spellEnd"/>
      <w:r w:rsidRPr="00F47F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F1C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F47F1C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F47F1C" w:rsidRPr="00F47F1C" w:rsidRDefault="00F47F1C" w:rsidP="00F47F1C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47F1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47F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7F1C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Лаврова В.А.</w:t>
      </w:r>
    </w:p>
    <w:p w:rsidR="00F47F1C" w:rsidRPr="00F47F1C" w:rsidRDefault="00F47F1C" w:rsidP="00F47F1C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47F1C" w:rsidRPr="00F47F1C" w:rsidRDefault="00F47F1C" w:rsidP="00F47F1C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47F1C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F47F1C" w:rsidRDefault="00F47F1C" w:rsidP="00F47F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7F1C" w:rsidRPr="00F47F1C" w:rsidRDefault="00F47F1C" w:rsidP="00F47F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7F1C" w:rsidRPr="00F47F1C" w:rsidRDefault="00F47F1C" w:rsidP="00F47F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47F1C" w:rsidTr="00F47F1C">
        <w:tc>
          <w:tcPr>
            <w:tcW w:w="4643" w:type="dxa"/>
            <w:vAlign w:val="bottom"/>
          </w:tcPr>
          <w:p w:rsidR="00F47F1C" w:rsidRPr="00F47F1C" w:rsidRDefault="00F47F1C" w:rsidP="00F47F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1C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644" w:type="dxa"/>
            <w:vAlign w:val="bottom"/>
          </w:tcPr>
          <w:p w:rsidR="00F47F1C" w:rsidRPr="00F47F1C" w:rsidRDefault="00F47F1C" w:rsidP="00F47F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F1C">
              <w:rPr>
                <w:rFonts w:ascii="Arial" w:hAnsi="Arial" w:cs="Arial"/>
                <w:sz w:val="24"/>
                <w:szCs w:val="24"/>
              </w:rPr>
              <w:t>Е.В.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7F1C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:rsidR="00F47F1C" w:rsidRPr="00F47F1C" w:rsidRDefault="00F47F1C" w:rsidP="00F47F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7F1C" w:rsidRPr="00F47F1C" w:rsidRDefault="00F47F1C" w:rsidP="00F47F1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  <w:sectPr w:rsidR="00F47F1C" w:rsidRPr="00F47F1C" w:rsidSect="00243BB2">
          <w:headerReference w:type="first" r:id="rId9"/>
          <w:pgSz w:w="11906" w:h="16838"/>
          <w:pgMar w:top="1134" w:right="1134" w:bottom="1276" w:left="1701" w:header="709" w:footer="709" w:gutter="0"/>
          <w:pgNumType w:start="1" w:chapStyle="1"/>
          <w:cols w:space="708"/>
          <w:docGrid w:linePitch="360"/>
        </w:sectPr>
      </w:pPr>
    </w:p>
    <w:p w:rsidR="00F47F1C" w:rsidRDefault="00F47F1C" w:rsidP="00F47F1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7F1C" w:rsidRDefault="00F47F1C" w:rsidP="00F47F1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47F1C" w:rsidRDefault="00F47F1C" w:rsidP="00F47F1C">
      <w:pPr>
        <w:spacing w:after="0" w:line="240" w:lineRule="auto"/>
        <w:ind w:left="4536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C7144A">
        <w:rPr>
          <w:rFonts w:ascii="Arial" w:hAnsi="Arial" w:cs="Arial"/>
          <w:sz w:val="24"/>
          <w:szCs w:val="24"/>
        </w:rPr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C7144A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C7144A">
        <w:rPr>
          <w:rFonts w:ascii="Arial" w:hAnsi="Arial" w:cs="Arial"/>
          <w:sz w:val="24"/>
          <w:szCs w:val="24"/>
        </w:rPr>
        <w:t>Кимовский район</w:t>
      </w:r>
    </w:p>
    <w:p w:rsidR="00F47F1C" w:rsidRDefault="00F47F1C" w:rsidP="00F47F1C">
      <w:pPr>
        <w:spacing w:after="0" w:line="240" w:lineRule="auto"/>
        <w:ind w:left="4536"/>
        <w:jc w:val="right"/>
        <w:outlineLvl w:val="0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от </w:t>
      </w:r>
      <w:r w:rsidRPr="00C6460B">
        <w:rPr>
          <w:rFonts w:ascii="Arial" w:hAnsi="Arial" w:cs="Arial"/>
          <w:sz w:val="24"/>
          <w:szCs w:val="24"/>
        </w:rPr>
        <w:t>19</w:t>
      </w:r>
      <w:r w:rsidRPr="00C7144A">
        <w:rPr>
          <w:rFonts w:ascii="Arial" w:hAnsi="Arial" w:cs="Arial"/>
          <w:sz w:val="24"/>
          <w:szCs w:val="24"/>
        </w:rPr>
        <w:t>.</w:t>
      </w:r>
      <w:r w:rsidRPr="00C6460B">
        <w:rPr>
          <w:rFonts w:ascii="Arial" w:hAnsi="Arial" w:cs="Arial"/>
          <w:sz w:val="24"/>
          <w:szCs w:val="24"/>
        </w:rPr>
        <w:t>11</w:t>
      </w:r>
      <w:r w:rsidRPr="00C7144A">
        <w:rPr>
          <w:rFonts w:ascii="Arial" w:hAnsi="Arial" w:cs="Arial"/>
          <w:sz w:val="24"/>
          <w:szCs w:val="24"/>
        </w:rPr>
        <w:t>.2021</w:t>
      </w:r>
      <w:r>
        <w:rPr>
          <w:rFonts w:ascii="Arial" w:hAnsi="Arial" w:cs="Arial"/>
          <w:sz w:val="24"/>
          <w:szCs w:val="24"/>
        </w:rPr>
        <w:t xml:space="preserve"> </w:t>
      </w:r>
      <w:r w:rsidRPr="00C7144A">
        <w:rPr>
          <w:rFonts w:ascii="Arial" w:hAnsi="Arial" w:cs="Arial"/>
          <w:sz w:val="24"/>
          <w:szCs w:val="24"/>
        </w:rPr>
        <w:t xml:space="preserve">№ </w:t>
      </w:r>
      <w:r w:rsidRPr="00C6460B">
        <w:rPr>
          <w:rFonts w:ascii="Arial" w:hAnsi="Arial" w:cs="Arial"/>
          <w:sz w:val="24"/>
          <w:szCs w:val="24"/>
        </w:rPr>
        <w:t>1239</w:t>
      </w:r>
    </w:p>
    <w:p w:rsidR="00F47F1C" w:rsidRPr="00F47F1C" w:rsidRDefault="00F47F1C" w:rsidP="00F47F1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C7144A" w:rsidRDefault="00F710F7" w:rsidP="00F47F1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ПРОГРАММА</w:t>
      </w:r>
    </w:p>
    <w:p w:rsidR="00F710F7" w:rsidRPr="00C7144A" w:rsidRDefault="00F710F7" w:rsidP="00F47F1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муниципального образования Кимовский район</w:t>
      </w:r>
      <w:r w:rsidR="00C7144A">
        <w:rPr>
          <w:rFonts w:ascii="Arial" w:hAnsi="Arial" w:cs="Arial"/>
          <w:b/>
          <w:sz w:val="24"/>
          <w:szCs w:val="24"/>
        </w:rPr>
        <w:t xml:space="preserve"> </w:t>
      </w:r>
      <w:r w:rsidRPr="00C7144A">
        <w:rPr>
          <w:rFonts w:ascii="Arial" w:hAnsi="Arial" w:cs="Arial"/>
          <w:b/>
          <w:sz w:val="24"/>
          <w:szCs w:val="24"/>
        </w:rPr>
        <w:t xml:space="preserve">«Обеспечение </w:t>
      </w:r>
      <w:r w:rsidR="00B90200" w:rsidRPr="00C7144A">
        <w:rPr>
          <w:rFonts w:ascii="Arial" w:hAnsi="Arial" w:cs="Arial"/>
          <w:b/>
          <w:sz w:val="24"/>
          <w:szCs w:val="24"/>
        </w:rPr>
        <w:t xml:space="preserve">доступным и комфортным жильем </w:t>
      </w:r>
      <w:r w:rsidRPr="00C7144A">
        <w:rPr>
          <w:rFonts w:ascii="Arial" w:hAnsi="Arial" w:cs="Arial"/>
          <w:b/>
          <w:sz w:val="24"/>
          <w:szCs w:val="24"/>
        </w:rPr>
        <w:t>населения Кимовского района</w:t>
      </w:r>
      <w:r w:rsidR="00B90200" w:rsidRPr="00C7144A">
        <w:rPr>
          <w:rFonts w:ascii="Arial" w:hAnsi="Arial" w:cs="Arial"/>
          <w:b/>
          <w:sz w:val="24"/>
          <w:szCs w:val="24"/>
        </w:rPr>
        <w:t xml:space="preserve"> на 2021-2025 годы»</w:t>
      </w:r>
    </w:p>
    <w:p w:rsidR="00C5291E" w:rsidRPr="00C7144A" w:rsidRDefault="00C5291E" w:rsidP="00F47F1C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C7144A" w:rsidRDefault="00F710F7" w:rsidP="00F47F1C">
      <w:pPr>
        <w:pStyle w:val="ConsPlusNormal"/>
        <w:jc w:val="center"/>
        <w:outlineLvl w:val="0"/>
        <w:rPr>
          <w:b/>
          <w:sz w:val="24"/>
          <w:szCs w:val="24"/>
        </w:rPr>
      </w:pPr>
      <w:r w:rsidRPr="00C7144A">
        <w:rPr>
          <w:b/>
          <w:sz w:val="24"/>
          <w:szCs w:val="24"/>
        </w:rPr>
        <w:t>ПАСПОРТ</w:t>
      </w:r>
    </w:p>
    <w:p w:rsidR="00C5291E" w:rsidRPr="00C7144A" w:rsidRDefault="00F710F7" w:rsidP="00F47F1C">
      <w:pPr>
        <w:pStyle w:val="ConsPlusNormal"/>
        <w:jc w:val="center"/>
        <w:outlineLvl w:val="0"/>
        <w:rPr>
          <w:sz w:val="24"/>
          <w:szCs w:val="24"/>
        </w:rPr>
      </w:pPr>
      <w:r w:rsidRPr="00C7144A">
        <w:rPr>
          <w:b/>
          <w:sz w:val="24"/>
          <w:szCs w:val="24"/>
        </w:rPr>
        <w:t xml:space="preserve"> муниципальной</w:t>
      </w:r>
      <w:r w:rsidR="00C7144A">
        <w:rPr>
          <w:b/>
          <w:sz w:val="24"/>
          <w:szCs w:val="24"/>
        </w:rPr>
        <w:t xml:space="preserve"> </w:t>
      </w:r>
      <w:r w:rsidRPr="00C7144A">
        <w:rPr>
          <w:b/>
          <w:sz w:val="24"/>
          <w:szCs w:val="24"/>
        </w:rPr>
        <w:t>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559"/>
        <w:gridCol w:w="1417"/>
        <w:gridCol w:w="1276"/>
      </w:tblGrid>
      <w:tr w:rsidR="00F710F7" w:rsidRPr="00C7144A" w:rsidTr="004C7D98">
        <w:tc>
          <w:tcPr>
            <w:tcW w:w="1951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B90200" w:rsidRPr="00C7144A" w:rsidRDefault="00B90200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F710F7" w:rsidRPr="00C7144A" w:rsidTr="004C7D98">
        <w:tc>
          <w:tcPr>
            <w:tcW w:w="1951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C7144A" w:rsidRDefault="00B90200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C7144A" w:rsidTr="004C7D98">
        <w:tc>
          <w:tcPr>
            <w:tcW w:w="1951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C7144A" w:rsidRDefault="002164C9" w:rsidP="00815401">
            <w:pPr>
              <w:pStyle w:val="ConsPlusNormal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Подпрограмма</w:t>
            </w:r>
            <w:r w:rsidR="00F35B7F" w:rsidRPr="00C7144A">
              <w:rPr>
                <w:sz w:val="24"/>
                <w:szCs w:val="24"/>
              </w:rPr>
              <w:t xml:space="preserve"> «Обеспечение жильем молодых семей</w:t>
            </w:r>
            <w:r w:rsidRPr="00C7144A">
              <w:rPr>
                <w:sz w:val="24"/>
                <w:szCs w:val="24"/>
              </w:rPr>
              <w:t xml:space="preserve"> в муниципальном образовании Кимовский район на 20</w:t>
            </w:r>
            <w:r w:rsidR="00B90200" w:rsidRPr="00C7144A">
              <w:rPr>
                <w:sz w:val="24"/>
                <w:szCs w:val="24"/>
              </w:rPr>
              <w:t>21</w:t>
            </w:r>
            <w:r w:rsidRPr="00C7144A">
              <w:rPr>
                <w:sz w:val="24"/>
                <w:szCs w:val="24"/>
              </w:rPr>
              <w:t>-2025 годы</w:t>
            </w:r>
            <w:r w:rsidR="001514AD" w:rsidRPr="00C7144A">
              <w:rPr>
                <w:sz w:val="24"/>
                <w:szCs w:val="24"/>
              </w:rPr>
              <w:t>»</w:t>
            </w:r>
          </w:p>
          <w:p w:rsidR="00F35B7F" w:rsidRPr="00C7144A" w:rsidRDefault="00755829" w:rsidP="00815401">
            <w:pPr>
              <w:pStyle w:val="ConsPlusNormal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Подпрограмма </w:t>
            </w:r>
            <w:r w:rsidRPr="00C7144A">
              <w:rPr>
                <w:bCs/>
                <w:sz w:val="24"/>
                <w:szCs w:val="24"/>
              </w:rPr>
              <w:t>«Развитие жилищного строительства на территории муниципального образования Кимовский район на 201</w:t>
            </w:r>
            <w:r w:rsidR="007F51DB" w:rsidRPr="00C7144A">
              <w:rPr>
                <w:bCs/>
                <w:sz w:val="24"/>
                <w:szCs w:val="24"/>
              </w:rPr>
              <w:t>8</w:t>
            </w:r>
            <w:r w:rsidRPr="00C7144A">
              <w:rPr>
                <w:bCs/>
                <w:sz w:val="24"/>
                <w:szCs w:val="24"/>
              </w:rPr>
              <w:t xml:space="preserve"> – 202</w:t>
            </w:r>
            <w:r w:rsidR="007F51DB" w:rsidRPr="00C7144A">
              <w:rPr>
                <w:bCs/>
                <w:sz w:val="24"/>
                <w:szCs w:val="24"/>
              </w:rPr>
              <w:t>1</w:t>
            </w:r>
            <w:r w:rsidRPr="00C7144A">
              <w:rPr>
                <w:bCs/>
                <w:sz w:val="24"/>
                <w:szCs w:val="24"/>
              </w:rPr>
              <w:t xml:space="preserve"> годы»</w:t>
            </w:r>
          </w:p>
          <w:p w:rsidR="00976A3E" w:rsidRPr="00C7144A" w:rsidRDefault="00F710F7" w:rsidP="00815401">
            <w:pPr>
              <w:pStyle w:val="ConsPlusNormal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Подпрограмма «</w:t>
            </w:r>
            <w:r w:rsidR="001514AD" w:rsidRPr="00C7144A">
              <w:rPr>
                <w:sz w:val="24"/>
                <w:szCs w:val="24"/>
              </w:rPr>
              <w:t>Газификация населенных пунктов муниципального образования Кимовский район на 2018 – 2021 годы</w:t>
            </w:r>
            <w:r w:rsidRPr="00C7144A">
              <w:rPr>
                <w:sz w:val="24"/>
                <w:szCs w:val="24"/>
              </w:rPr>
              <w:t>»</w:t>
            </w:r>
          </w:p>
        </w:tc>
      </w:tr>
      <w:tr w:rsidR="00F710F7" w:rsidRPr="00C7144A" w:rsidTr="009F4E74">
        <w:tc>
          <w:tcPr>
            <w:tcW w:w="1951" w:type="dxa"/>
            <w:shd w:val="clear" w:color="auto" w:fill="FFFFFF" w:themeFill="background1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E241B0" w:rsidRPr="00C7144A" w:rsidRDefault="00E241B0" w:rsidP="00815401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1.</w:t>
            </w:r>
            <w:r w:rsidRPr="00C7144A">
              <w:rPr>
                <w:rFonts w:ascii="Arial" w:hAnsi="Arial" w:cs="Arial"/>
                <w:sz w:val="24"/>
                <w:szCs w:val="24"/>
              </w:rPr>
              <w:tab/>
              <w:t>Создание условий для обеспечения доступности жилья для граждан, проживающих на территории Кимовского района.</w:t>
            </w:r>
          </w:p>
          <w:p w:rsidR="00E241B0" w:rsidRPr="00C7144A" w:rsidRDefault="00E241B0" w:rsidP="00815401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2.</w:t>
            </w:r>
            <w:r w:rsidRPr="00C7144A">
              <w:rPr>
                <w:rFonts w:ascii="Arial" w:hAnsi="Arial" w:cs="Arial"/>
                <w:sz w:val="24"/>
                <w:szCs w:val="24"/>
              </w:rPr>
              <w:tab/>
              <w:t>Создание условий для газификации населенных пунктов Кимовског</w:t>
            </w:r>
            <w:r w:rsidR="00C3498C" w:rsidRPr="00C7144A">
              <w:rPr>
                <w:rFonts w:ascii="Arial" w:hAnsi="Arial" w:cs="Arial"/>
                <w:sz w:val="24"/>
                <w:szCs w:val="24"/>
              </w:rPr>
              <w:t>о</w:t>
            </w:r>
            <w:r w:rsidRPr="00C7144A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  <w:p w:rsidR="00F710F7" w:rsidRPr="00C7144A" w:rsidRDefault="00E241B0" w:rsidP="00815401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90200" w:rsidRPr="00C7144A">
              <w:rPr>
                <w:rFonts w:ascii="Arial" w:hAnsi="Arial" w:cs="Arial"/>
                <w:sz w:val="24"/>
                <w:szCs w:val="24"/>
              </w:rPr>
              <w:t>Р</w:t>
            </w:r>
            <w:r w:rsidRPr="00C7144A">
              <w:rPr>
                <w:rFonts w:ascii="Arial" w:hAnsi="Arial" w:cs="Arial"/>
                <w:sz w:val="24"/>
                <w:szCs w:val="24"/>
              </w:rPr>
              <w:t>азвитие инженерной инфраструктуры</w:t>
            </w:r>
          </w:p>
        </w:tc>
      </w:tr>
      <w:tr w:rsidR="00F710F7" w:rsidRPr="00C7144A" w:rsidTr="009F4E74">
        <w:tc>
          <w:tcPr>
            <w:tcW w:w="1951" w:type="dxa"/>
            <w:shd w:val="clear" w:color="auto" w:fill="FFFFFF" w:themeFill="background1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C7144A" w:rsidRDefault="00F710F7" w:rsidP="00815401">
            <w:pPr>
              <w:pStyle w:val="ConsPlusNormal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района.</w:t>
            </w:r>
          </w:p>
          <w:p w:rsidR="00F710F7" w:rsidRPr="00C7144A" w:rsidRDefault="00F710F7" w:rsidP="00815401">
            <w:pPr>
              <w:pStyle w:val="ConsPlusNormal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Создание условий для газификации населенных пунктов Кимовского района.</w:t>
            </w:r>
            <w:r w:rsidR="00FE6101" w:rsidRPr="00C7144A">
              <w:rPr>
                <w:sz w:val="24"/>
                <w:szCs w:val="24"/>
              </w:rPr>
              <w:t xml:space="preserve"> </w:t>
            </w:r>
          </w:p>
        </w:tc>
      </w:tr>
      <w:tr w:rsidR="00F710F7" w:rsidRPr="00C7144A" w:rsidTr="009F4E74">
        <w:tc>
          <w:tcPr>
            <w:tcW w:w="1951" w:type="dxa"/>
            <w:shd w:val="clear" w:color="auto" w:fill="FFFFFF" w:themeFill="background1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C7144A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Объем жилищного строительства (ввод в действие жилых домов), тыс. кв. м.</w:t>
            </w:r>
          </w:p>
          <w:p w:rsidR="00F710F7" w:rsidRPr="00C7144A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Ввод жилья в рамках мероприятий по стимулированию программ развития жилищного строительства </w:t>
            </w:r>
            <w:proofErr w:type="gramStart"/>
            <w:r w:rsidRPr="00C7144A">
              <w:rPr>
                <w:sz w:val="24"/>
                <w:szCs w:val="24"/>
              </w:rPr>
              <w:t>в</w:t>
            </w:r>
            <w:proofErr w:type="gramEnd"/>
            <w:r w:rsidRPr="00C7144A">
              <w:rPr>
                <w:sz w:val="24"/>
                <w:szCs w:val="24"/>
              </w:rPr>
              <w:t xml:space="preserve"> </w:t>
            </w:r>
            <w:proofErr w:type="gramStart"/>
            <w:r w:rsidRPr="00C7144A">
              <w:rPr>
                <w:sz w:val="24"/>
                <w:szCs w:val="24"/>
              </w:rPr>
              <w:t>Кимовском</w:t>
            </w:r>
            <w:proofErr w:type="gramEnd"/>
            <w:r w:rsidRPr="00C7144A">
              <w:rPr>
                <w:sz w:val="24"/>
                <w:szCs w:val="24"/>
              </w:rPr>
              <w:t xml:space="preserve"> районе, тыс. кв. м.</w:t>
            </w:r>
          </w:p>
          <w:p w:rsidR="00F710F7" w:rsidRPr="00C7144A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Ввод объектов в эксплуатацию в рамках мероприятия по развитию жилищного строительства </w:t>
            </w:r>
            <w:proofErr w:type="gramStart"/>
            <w:r w:rsidRPr="00C7144A">
              <w:rPr>
                <w:sz w:val="24"/>
                <w:szCs w:val="24"/>
              </w:rPr>
              <w:t>в</w:t>
            </w:r>
            <w:proofErr w:type="gramEnd"/>
            <w:r w:rsidRPr="00C7144A">
              <w:rPr>
                <w:sz w:val="24"/>
                <w:szCs w:val="24"/>
              </w:rPr>
              <w:t xml:space="preserve"> </w:t>
            </w:r>
            <w:proofErr w:type="gramStart"/>
            <w:r w:rsidRPr="00C7144A">
              <w:rPr>
                <w:sz w:val="24"/>
                <w:szCs w:val="24"/>
              </w:rPr>
              <w:t>Кимовском</w:t>
            </w:r>
            <w:proofErr w:type="gramEnd"/>
            <w:r w:rsidRPr="00C7144A">
              <w:rPr>
                <w:sz w:val="24"/>
                <w:szCs w:val="24"/>
              </w:rPr>
              <w:t xml:space="preserve"> районе, единиц.</w:t>
            </w:r>
          </w:p>
          <w:p w:rsidR="00F710F7" w:rsidRPr="00C7144A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семей.</w:t>
            </w:r>
          </w:p>
          <w:p w:rsidR="00F710F7" w:rsidRPr="00C7144A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  <w:p w:rsidR="00F710F7" w:rsidRPr="00C7144A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Протяженность построенных </w:t>
            </w:r>
            <w:proofErr w:type="spellStart"/>
            <w:r w:rsidRPr="00C7144A">
              <w:rPr>
                <w:sz w:val="24"/>
                <w:szCs w:val="24"/>
              </w:rPr>
              <w:t>внутрипоселковых</w:t>
            </w:r>
            <w:proofErr w:type="spellEnd"/>
            <w:r w:rsidRPr="00C7144A">
              <w:rPr>
                <w:sz w:val="24"/>
                <w:szCs w:val="24"/>
              </w:rPr>
              <w:t xml:space="preserve"> распределительных газопроводов, километров.</w:t>
            </w:r>
          </w:p>
          <w:p w:rsidR="00FE6101" w:rsidRPr="00C7144A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Количество газифицированных населенных пунктов Кимовского района, единиц.</w:t>
            </w:r>
            <w:r w:rsidR="00B90200" w:rsidRPr="00C7144A">
              <w:rPr>
                <w:sz w:val="24"/>
                <w:szCs w:val="24"/>
              </w:rPr>
              <w:t xml:space="preserve"> </w:t>
            </w:r>
          </w:p>
        </w:tc>
      </w:tr>
      <w:tr w:rsidR="00F710F7" w:rsidRPr="00C7144A" w:rsidTr="004C7D98">
        <w:tc>
          <w:tcPr>
            <w:tcW w:w="1951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Государственная программа реализуется в один этап с 20</w:t>
            </w:r>
            <w:r w:rsidR="00B90200" w:rsidRPr="00C7144A">
              <w:rPr>
                <w:sz w:val="24"/>
                <w:szCs w:val="24"/>
              </w:rPr>
              <w:t>21</w:t>
            </w:r>
            <w:r w:rsidRPr="00C7144A">
              <w:rPr>
                <w:sz w:val="24"/>
                <w:szCs w:val="24"/>
              </w:rPr>
              <w:t xml:space="preserve"> по 2025 год</w:t>
            </w:r>
          </w:p>
        </w:tc>
      </w:tr>
      <w:tr w:rsidR="00C3498C" w:rsidRPr="00C7144A" w:rsidTr="00032FF4">
        <w:tc>
          <w:tcPr>
            <w:tcW w:w="1951" w:type="dxa"/>
            <w:vMerge w:val="restart"/>
            <w:shd w:val="clear" w:color="auto" w:fill="auto"/>
          </w:tcPr>
          <w:p w:rsidR="009024C5" w:rsidRPr="00C7144A" w:rsidRDefault="009024C5" w:rsidP="00A2481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Объем ресурсного обеспечения программы, тыс. рублей</w:t>
            </w:r>
          </w:p>
        </w:tc>
        <w:tc>
          <w:tcPr>
            <w:tcW w:w="1134" w:type="dxa"/>
            <w:shd w:val="clear" w:color="auto" w:fill="auto"/>
          </w:tcPr>
          <w:p w:rsidR="009024C5" w:rsidRPr="00C7144A" w:rsidRDefault="009024C5" w:rsidP="00A2481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Источники финансирования/</w:t>
            </w:r>
            <w:r w:rsidR="00A2481A">
              <w:rPr>
                <w:sz w:val="24"/>
                <w:szCs w:val="24"/>
              </w:rPr>
              <w:t xml:space="preserve"> </w:t>
            </w:r>
            <w:r w:rsidRPr="00C7144A"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9024C5" w:rsidRPr="00C7144A" w:rsidRDefault="009024C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024C5" w:rsidRPr="00C7144A" w:rsidRDefault="009024C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024C5" w:rsidRPr="00C7144A" w:rsidRDefault="009024C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9024C5" w:rsidRPr="00C7144A" w:rsidRDefault="009024C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9024C5" w:rsidRPr="00C7144A" w:rsidRDefault="009024C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144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7144A">
              <w:rPr>
                <w:sz w:val="24"/>
                <w:szCs w:val="24"/>
              </w:rPr>
              <w:t xml:space="preserve"> источники</w:t>
            </w:r>
          </w:p>
        </w:tc>
      </w:tr>
      <w:tr w:rsidR="005E4CFD" w:rsidRPr="00C7144A" w:rsidTr="00B1744D">
        <w:tc>
          <w:tcPr>
            <w:tcW w:w="1951" w:type="dxa"/>
            <w:vMerge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5E4CFD" w:rsidRPr="00C7144A" w:rsidRDefault="000B41E5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22</w:t>
            </w:r>
            <w:r w:rsidR="005E4CFD" w:rsidRPr="00C7144A">
              <w:rPr>
                <w:sz w:val="24"/>
                <w:szCs w:val="24"/>
              </w:rPr>
              <w:t xml:space="preserve"> </w:t>
            </w:r>
            <w:r w:rsidRPr="00C7144A">
              <w:rPr>
                <w:sz w:val="24"/>
                <w:szCs w:val="24"/>
              </w:rPr>
              <w:t>46</w:t>
            </w:r>
            <w:r w:rsidR="005E4CFD" w:rsidRPr="00C7144A">
              <w:rPr>
                <w:sz w:val="24"/>
                <w:szCs w:val="24"/>
              </w:rPr>
              <w:t>8,743</w:t>
            </w:r>
          </w:p>
        </w:tc>
        <w:tc>
          <w:tcPr>
            <w:tcW w:w="1134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3 089,665</w:t>
            </w:r>
          </w:p>
        </w:tc>
        <w:tc>
          <w:tcPr>
            <w:tcW w:w="1559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 xml:space="preserve">15 108,591 </w:t>
            </w:r>
          </w:p>
        </w:tc>
        <w:tc>
          <w:tcPr>
            <w:tcW w:w="1417" w:type="dxa"/>
            <w:shd w:val="clear" w:color="auto" w:fill="FFFFFF" w:themeFill="background1"/>
          </w:tcPr>
          <w:p w:rsidR="005E4CFD" w:rsidRPr="00C7144A" w:rsidRDefault="000B41E5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4</w:t>
            </w:r>
            <w:r w:rsidR="005E4CFD" w:rsidRPr="00C7144A">
              <w:rPr>
                <w:sz w:val="24"/>
                <w:szCs w:val="24"/>
              </w:rPr>
              <w:t xml:space="preserve"> </w:t>
            </w:r>
            <w:r w:rsidRPr="00C7144A">
              <w:rPr>
                <w:sz w:val="24"/>
                <w:szCs w:val="24"/>
              </w:rPr>
              <w:t>270</w:t>
            </w:r>
            <w:r w:rsidR="005E4CFD" w:rsidRPr="00C7144A">
              <w:rPr>
                <w:sz w:val="24"/>
                <w:szCs w:val="24"/>
              </w:rPr>
              <w:t>,487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4CFD" w:rsidRPr="00C7144A" w:rsidRDefault="005E4CFD" w:rsidP="00F47F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44A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5E4CFD" w:rsidRPr="00C7144A" w:rsidTr="00032FF4">
        <w:tc>
          <w:tcPr>
            <w:tcW w:w="1951" w:type="dxa"/>
            <w:vMerge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1</w:t>
            </w:r>
            <w:r w:rsidR="000B41E5" w:rsidRPr="00C7144A">
              <w:rPr>
                <w:sz w:val="24"/>
                <w:szCs w:val="24"/>
              </w:rPr>
              <w:t>7</w:t>
            </w:r>
            <w:r w:rsidRPr="00C7144A">
              <w:rPr>
                <w:sz w:val="24"/>
                <w:szCs w:val="24"/>
              </w:rPr>
              <w:t> </w:t>
            </w:r>
            <w:r w:rsidR="000B41E5" w:rsidRPr="00C7144A">
              <w:rPr>
                <w:sz w:val="24"/>
                <w:szCs w:val="24"/>
              </w:rPr>
              <w:t>56</w:t>
            </w:r>
            <w:r w:rsidRPr="00C7144A">
              <w:rPr>
                <w:sz w:val="24"/>
                <w:szCs w:val="24"/>
              </w:rPr>
              <w:t>9,978</w:t>
            </w:r>
          </w:p>
        </w:tc>
        <w:tc>
          <w:tcPr>
            <w:tcW w:w="1134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1 327,011</w:t>
            </w:r>
          </w:p>
        </w:tc>
        <w:tc>
          <w:tcPr>
            <w:tcW w:w="1559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11 492,967</w:t>
            </w:r>
          </w:p>
        </w:tc>
        <w:tc>
          <w:tcPr>
            <w:tcW w:w="1417" w:type="dxa"/>
            <w:shd w:val="clear" w:color="auto" w:fill="FFFFFF" w:themeFill="background1"/>
          </w:tcPr>
          <w:p w:rsidR="005E4CFD" w:rsidRPr="00C7144A" w:rsidRDefault="000B41E5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4</w:t>
            </w:r>
            <w:r w:rsidR="005E4CFD" w:rsidRPr="00C7144A">
              <w:rPr>
                <w:sz w:val="24"/>
                <w:szCs w:val="24"/>
              </w:rPr>
              <w:t> </w:t>
            </w:r>
            <w:r w:rsidRPr="00C7144A">
              <w:rPr>
                <w:sz w:val="24"/>
                <w:szCs w:val="24"/>
              </w:rPr>
              <w:t>750</w:t>
            </w:r>
            <w:r w:rsidR="005E4CFD" w:rsidRPr="00C7144A">
              <w:rPr>
                <w:sz w:val="24"/>
                <w:szCs w:val="24"/>
              </w:rPr>
              <w:t>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5E4CFD" w:rsidRPr="00C7144A" w:rsidTr="00B1744D">
        <w:tc>
          <w:tcPr>
            <w:tcW w:w="1951" w:type="dxa"/>
            <w:vMerge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12 478,810</w:t>
            </w:r>
          </w:p>
        </w:tc>
        <w:tc>
          <w:tcPr>
            <w:tcW w:w="1134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1 133,497</w:t>
            </w:r>
          </w:p>
        </w:tc>
        <w:tc>
          <w:tcPr>
            <w:tcW w:w="1559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9 845,313</w:t>
            </w:r>
          </w:p>
        </w:tc>
        <w:tc>
          <w:tcPr>
            <w:tcW w:w="1417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5E4CFD" w:rsidRPr="00C7144A" w:rsidTr="00B1744D">
        <w:tc>
          <w:tcPr>
            <w:tcW w:w="1951" w:type="dxa"/>
            <w:vMerge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12 463,631</w:t>
            </w:r>
          </w:p>
        </w:tc>
        <w:tc>
          <w:tcPr>
            <w:tcW w:w="1134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1 131,911</w:t>
            </w:r>
          </w:p>
        </w:tc>
        <w:tc>
          <w:tcPr>
            <w:tcW w:w="1559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9 831,720</w:t>
            </w:r>
          </w:p>
        </w:tc>
        <w:tc>
          <w:tcPr>
            <w:tcW w:w="1417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5E4CFD" w:rsidRPr="00C7144A" w:rsidTr="00B1744D">
        <w:tc>
          <w:tcPr>
            <w:tcW w:w="1951" w:type="dxa"/>
            <w:vMerge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E4CFD" w:rsidRPr="00C7144A" w:rsidRDefault="005E4CFD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12 463,631</w:t>
            </w:r>
          </w:p>
        </w:tc>
        <w:tc>
          <w:tcPr>
            <w:tcW w:w="1134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1 131,911</w:t>
            </w:r>
          </w:p>
        </w:tc>
        <w:tc>
          <w:tcPr>
            <w:tcW w:w="1559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9 831,720</w:t>
            </w:r>
          </w:p>
        </w:tc>
        <w:tc>
          <w:tcPr>
            <w:tcW w:w="1417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5E4CFD" w:rsidRPr="00C7144A" w:rsidTr="00C3498C">
        <w:trPr>
          <w:trHeight w:val="241"/>
        </w:trPr>
        <w:tc>
          <w:tcPr>
            <w:tcW w:w="1951" w:type="dxa"/>
            <w:vMerge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E4CFD" w:rsidRPr="00C7144A" w:rsidRDefault="005E4CFD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7</w:t>
            </w:r>
            <w:r w:rsidR="000B41E5" w:rsidRPr="00C7144A">
              <w:rPr>
                <w:sz w:val="24"/>
                <w:szCs w:val="24"/>
              </w:rPr>
              <w:t>7</w:t>
            </w:r>
            <w:r w:rsidRPr="00C7144A">
              <w:rPr>
                <w:sz w:val="24"/>
                <w:szCs w:val="24"/>
              </w:rPr>
              <w:t> </w:t>
            </w:r>
            <w:r w:rsidR="000B41E5" w:rsidRPr="00C7144A">
              <w:rPr>
                <w:sz w:val="24"/>
                <w:szCs w:val="24"/>
              </w:rPr>
              <w:t>4</w:t>
            </w:r>
            <w:r w:rsidRPr="00C7144A">
              <w:rPr>
                <w:sz w:val="24"/>
                <w:szCs w:val="24"/>
              </w:rPr>
              <w:t>44,793</w:t>
            </w:r>
          </w:p>
        </w:tc>
        <w:tc>
          <w:tcPr>
            <w:tcW w:w="1134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7 813,995</w:t>
            </w:r>
          </w:p>
        </w:tc>
        <w:tc>
          <w:tcPr>
            <w:tcW w:w="1559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56 110,311</w:t>
            </w:r>
          </w:p>
        </w:tc>
        <w:tc>
          <w:tcPr>
            <w:tcW w:w="1417" w:type="dxa"/>
            <w:shd w:val="clear" w:color="auto" w:fill="FFFFFF" w:themeFill="background1"/>
          </w:tcPr>
          <w:p w:rsidR="005E4CFD" w:rsidRPr="00C7144A" w:rsidRDefault="000B41E5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13</w:t>
            </w:r>
            <w:r w:rsidR="005E4CFD" w:rsidRPr="00C7144A">
              <w:rPr>
                <w:sz w:val="24"/>
                <w:szCs w:val="24"/>
              </w:rPr>
              <w:t> </w:t>
            </w:r>
            <w:r w:rsidRPr="00C7144A">
              <w:rPr>
                <w:sz w:val="24"/>
                <w:szCs w:val="24"/>
              </w:rPr>
              <w:t>5</w:t>
            </w:r>
            <w:r w:rsidR="005E4CFD" w:rsidRPr="00C7144A">
              <w:rPr>
                <w:sz w:val="24"/>
                <w:szCs w:val="24"/>
              </w:rPr>
              <w:t>20,487</w:t>
            </w:r>
          </w:p>
        </w:tc>
        <w:tc>
          <w:tcPr>
            <w:tcW w:w="1276" w:type="dxa"/>
            <w:shd w:val="clear" w:color="auto" w:fill="FFFFFF" w:themeFill="background1"/>
          </w:tcPr>
          <w:p w:rsidR="005E4CFD" w:rsidRPr="00C7144A" w:rsidRDefault="005E4CFD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2A27DD" w:rsidRPr="00C7144A" w:rsidTr="004C7D98">
        <w:tc>
          <w:tcPr>
            <w:tcW w:w="1951" w:type="dxa"/>
            <w:shd w:val="clear" w:color="auto" w:fill="auto"/>
          </w:tcPr>
          <w:p w:rsidR="002A27DD" w:rsidRPr="00C7144A" w:rsidRDefault="002A27DD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2A27DD" w:rsidRPr="00C7144A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Увеличение объема жилищного строительства (ввод в действие жилых домов) до 40,7 тыс.</w:t>
            </w:r>
            <w:r w:rsidR="00C7144A">
              <w:rPr>
                <w:sz w:val="24"/>
                <w:szCs w:val="24"/>
              </w:rPr>
              <w:t xml:space="preserve"> </w:t>
            </w:r>
            <w:r w:rsidRPr="00C7144A">
              <w:rPr>
                <w:sz w:val="24"/>
                <w:szCs w:val="24"/>
              </w:rPr>
              <w:t>кв. м в год к концу 2025 года.</w:t>
            </w:r>
          </w:p>
          <w:p w:rsidR="002A27DD" w:rsidRPr="00C7144A" w:rsidRDefault="002A27DD" w:rsidP="00F47F1C">
            <w:pPr>
              <w:pStyle w:val="ConsPlusNormal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Ввод жилья в рамках мероприятий по стимулированию программ развития жилищного строительства </w:t>
            </w:r>
            <w:proofErr w:type="gramStart"/>
            <w:r w:rsidRPr="00C7144A">
              <w:rPr>
                <w:sz w:val="24"/>
                <w:szCs w:val="24"/>
              </w:rPr>
              <w:t>в</w:t>
            </w:r>
            <w:proofErr w:type="gramEnd"/>
            <w:r w:rsidRPr="00C7144A">
              <w:rPr>
                <w:sz w:val="24"/>
                <w:szCs w:val="24"/>
              </w:rPr>
              <w:t xml:space="preserve"> </w:t>
            </w:r>
            <w:proofErr w:type="gramStart"/>
            <w:r w:rsidRPr="00C7144A">
              <w:rPr>
                <w:sz w:val="24"/>
                <w:szCs w:val="24"/>
              </w:rPr>
              <w:t>Кимовском</w:t>
            </w:r>
            <w:proofErr w:type="gramEnd"/>
            <w:r w:rsidRPr="00C7144A">
              <w:rPr>
                <w:sz w:val="24"/>
                <w:szCs w:val="24"/>
              </w:rPr>
              <w:t xml:space="preserve"> районе составит 16,7 тыс. кв. м к концу 2025 года.</w:t>
            </w:r>
          </w:p>
          <w:p w:rsidR="002A27DD" w:rsidRPr="00C7144A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Количество построенных и введенных в эксплуатацию объектов в рамках мероприятия по развитию жилищного строительства </w:t>
            </w:r>
            <w:proofErr w:type="gramStart"/>
            <w:r w:rsidRPr="00C7144A">
              <w:rPr>
                <w:sz w:val="24"/>
                <w:szCs w:val="24"/>
              </w:rPr>
              <w:t>в</w:t>
            </w:r>
            <w:proofErr w:type="gramEnd"/>
            <w:r w:rsidRPr="00C7144A">
              <w:rPr>
                <w:sz w:val="24"/>
                <w:szCs w:val="24"/>
              </w:rPr>
              <w:t xml:space="preserve"> </w:t>
            </w:r>
            <w:proofErr w:type="gramStart"/>
            <w:r w:rsidRPr="00C7144A">
              <w:rPr>
                <w:sz w:val="24"/>
                <w:szCs w:val="24"/>
              </w:rPr>
              <w:t>Кимовском</w:t>
            </w:r>
            <w:proofErr w:type="gramEnd"/>
            <w:r w:rsidRPr="00C7144A">
              <w:rPr>
                <w:sz w:val="24"/>
                <w:szCs w:val="24"/>
              </w:rPr>
              <w:t xml:space="preserve"> районе составит 2 единицы к концу 2025 года.</w:t>
            </w:r>
          </w:p>
          <w:p w:rsidR="002A27DD" w:rsidRPr="00C7144A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</w:t>
            </w:r>
            <w:r w:rsidR="003150DB" w:rsidRPr="00C7144A">
              <w:rPr>
                <w:sz w:val="24"/>
                <w:szCs w:val="24"/>
              </w:rPr>
              <w:t>99</w:t>
            </w:r>
            <w:r w:rsidRPr="00C7144A">
              <w:rPr>
                <w:sz w:val="24"/>
                <w:szCs w:val="24"/>
              </w:rPr>
              <w:t xml:space="preserve"> семей.</w:t>
            </w:r>
          </w:p>
          <w:p w:rsidR="002A27DD" w:rsidRPr="00C7144A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</w:t>
            </w:r>
            <w:r w:rsidR="003150DB" w:rsidRPr="00C7144A">
              <w:rPr>
                <w:sz w:val="24"/>
                <w:szCs w:val="24"/>
              </w:rPr>
              <w:t>4</w:t>
            </w:r>
            <w:r w:rsidRPr="00C7144A">
              <w:rPr>
                <w:sz w:val="24"/>
                <w:szCs w:val="24"/>
              </w:rPr>
              <w:t xml:space="preserve"> семей.</w:t>
            </w:r>
          </w:p>
          <w:p w:rsidR="002A27DD" w:rsidRPr="00C7144A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Увеличение протяженности построенных </w:t>
            </w:r>
            <w:proofErr w:type="spellStart"/>
            <w:r w:rsidRPr="00C7144A">
              <w:rPr>
                <w:sz w:val="24"/>
                <w:szCs w:val="24"/>
              </w:rPr>
              <w:t>внутрипоселковых</w:t>
            </w:r>
            <w:proofErr w:type="spellEnd"/>
            <w:r w:rsidRPr="00C7144A">
              <w:rPr>
                <w:sz w:val="24"/>
                <w:szCs w:val="24"/>
              </w:rPr>
              <w:t xml:space="preserve"> распределительных газопроводов на 5,4 километра к концу 2025 года.</w:t>
            </w:r>
          </w:p>
          <w:p w:rsidR="00994408" w:rsidRPr="00C7144A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Увеличение газифицированных населенных пунктов Кимовского района на 2 единицы к концу 2025 года. </w:t>
            </w:r>
          </w:p>
        </w:tc>
      </w:tr>
    </w:tbl>
    <w:p w:rsidR="00F710F7" w:rsidRPr="00C7144A" w:rsidRDefault="00F710F7" w:rsidP="00F47F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10F7" w:rsidRPr="00C7144A" w:rsidRDefault="00F710F7" w:rsidP="00F47F1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Характеристика текущего состояния, основные показатели, основные проблемы жилищно-коммунальной сферы</w:t>
      </w:r>
    </w:p>
    <w:p w:rsidR="00F710F7" w:rsidRPr="00C7144A" w:rsidRDefault="00F710F7" w:rsidP="00F47F1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710F7" w:rsidRPr="00C7144A" w:rsidRDefault="00F710F7" w:rsidP="00F47F1C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lastRenderedPageBreak/>
        <w:t>Жилищный фонд муниципального образования Кимовский район составляет 9350 жилых дома, из них 1109 муниципальный жилищный фонд. 72 многоквартирных дома являются аварийными жилыми домами.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Наличие большого количества ветхого и аварийного жилья - одна из наиболее острых проблем Кимовского района. Основная причина этого - поспешное закрытие Подмосковного угольного бассейна. Срок службы временного жилья, предусмотренный стандартами, - 15-20 лет. Фактический же период их эксплуатации превышен в 4 раза. В настоящее время на учете в качестве нуждающихся в улучшении жилищных условий состоят 1637 семьи, из них принятых на учет до 1 марта 2005 года 1590, которые требуют обеспечения безопасных и санитарных условий проживания, организации мероприятий по переселению граждан из ветхих и аварийных строений в благоустроенное жилье.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Проблематика вопроса усугубляется следующими параметрами: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старение и разрушение жилищного фонда быстрее его обновления, что приводит к росту аварийного и ветхого жилья;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рост объемов аварийного и ветхого жилья – в целях увеличения ввода жилья и создания комфортных условий проживания граждан приоритетным считается комплексное развитие территорий, как правило, влекущее строительство, перекладку инженерных сетей;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по данным статистики темп роста цен на жилье превышает темп роста реальных располагаемых доходов населения.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Основными инструментами для создания условий, обеспечивающих в районе доступность жилья для граждан, являются: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создание условий для снижения стоимости квадратного метра жилья, в т.ч. через развитие механизмов, обеспечивающих эффективность и надежность инвестиций в жилищное строительство и рынок ипотечного кредитования в рамках стимулирования программ развития жилищного строительства муниципального образования Кимовский район для обеспечения территорий жилой застройки (стандартное жилье) объектами инженерной и социальной инфраструктуры;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государственная поддержка отдельных категорий населения, в т.ч. молодых семей, в целях недопущения падения спроса на рынке жилья через предоставление социальных выплат и развитие льготного ипотечного кредитования.</w:t>
      </w:r>
    </w:p>
    <w:p w:rsidR="00F710F7" w:rsidRPr="00C7144A" w:rsidRDefault="00F710F7" w:rsidP="00F47F1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За шесть лет в рамках </w:t>
      </w:r>
      <w:proofErr w:type="gramStart"/>
      <w:r w:rsidRPr="00C7144A">
        <w:rPr>
          <w:rFonts w:ascii="Arial" w:hAnsi="Arial" w:cs="Arial"/>
          <w:sz w:val="24"/>
          <w:szCs w:val="24"/>
        </w:rPr>
        <w:t>программ газификации, реализуемых как органами исполнительной власти и местного самоуправления построены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44A">
        <w:rPr>
          <w:rFonts w:ascii="Arial" w:hAnsi="Arial" w:cs="Arial"/>
          <w:sz w:val="24"/>
          <w:szCs w:val="24"/>
        </w:rPr>
        <w:t>внутрипоселковые</w:t>
      </w:r>
      <w:proofErr w:type="spellEnd"/>
      <w:r w:rsidRPr="00C7144A">
        <w:rPr>
          <w:rFonts w:ascii="Arial" w:hAnsi="Arial" w:cs="Arial"/>
          <w:sz w:val="24"/>
          <w:szCs w:val="24"/>
        </w:rPr>
        <w:t xml:space="preserve"> и межпоселковые газопроводы.</w:t>
      </w:r>
    </w:p>
    <w:p w:rsidR="00F710F7" w:rsidRPr="00C7144A" w:rsidRDefault="00F710F7" w:rsidP="00F47F1C">
      <w:pPr>
        <w:pStyle w:val="ConsPlusNormal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7144A">
        <w:rPr>
          <w:rFonts w:eastAsiaTheme="minorHAnsi"/>
          <w:sz w:val="24"/>
          <w:szCs w:val="24"/>
          <w:lang w:eastAsia="en-US"/>
        </w:rPr>
        <w:t>По состоянию на 10.01.2018 уровень газификации населенных пунктов муниципального образования Кимовский район природным газом составляет 80% процентов. Кимовский район по данному показателю занимает 13-е место среди муниципальных образовани</w:t>
      </w:r>
      <w:r w:rsidR="002A4B49" w:rsidRPr="00C7144A">
        <w:rPr>
          <w:rFonts w:eastAsiaTheme="minorHAnsi"/>
          <w:sz w:val="24"/>
          <w:szCs w:val="24"/>
          <w:lang w:eastAsia="en-US"/>
        </w:rPr>
        <w:t>й</w:t>
      </w:r>
      <w:r w:rsidRPr="00C7144A">
        <w:rPr>
          <w:rFonts w:eastAsiaTheme="minorHAnsi"/>
          <w:sz w:val="24"/>
          <w:szCs w:val="24"/>
          <w:lang w:eastAsia="en-US"/>
        </w:rPr>
        <w:t xml:space="preserve"> в Тульской области. </w:t>
      </w:r>
    </w:p>
    <w:p w:rsidR="00F710F7" w:rsidRPr="00C7144A" w:rsidRDefault="00F710F7" w:rsidP="00F47F1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>На территории муниципального образования Кимовский район источниками газоснабжения являются 2 газораспределительные станции (далее – ГРС).</w:t>
      </w:r>
    </w:p>
    <w:p w:rsidR="00F710F7" w:rsidRPr="00C7144A" w:rsidRDefault="00F710F7" w:rsidP="00F47F1C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spellStart"/>
      <w:r w:rsidRPr="00C7144A">
        <w:rPr>
          <w:sz w:val="24"/>
          <w:szCs w:val="24"/>
        </w:rPr>
        <w:t>Ресурсоснабжающей</w:t>
      </w:r>
      <w:proofErr w:type="spellEnd"/>
      <w:r w:rsidRPr="00C7144A">
        <w:rPr>
          <w:sz w:val="24"/>
          <w:szCs w:val="24"/>
        </w:rPr>
        <w:t xml:space="preserve"> организацией, осуществляющей поставку природного газа потребителям Тульской области, является ООО «</w:t>
      </w:r>
      <w:r w:rsidRPr="00C7144A">
        <w:rPr>
          <w:spacing w:val="-4"/>
          <w:sz w:val="24"/>
          <w:szCs w:val="24"/>
        </w:rPr>
        <w:t xml:space="preserve">Газпром </w:t>
      </w:r>
      <w:proofErr w:type="spellStart"/>
      <w:r w:rsidRPr="00C7144A">
        <w:rPr>
          <w:spacing w:val="-4"/>
          <w:sz w:val="24"/>
          <w:szCs w:val="24"/>
        </w:rPr>
        <w:t>межрегионгаз</w:t>
      </w:r>
      <w:proofErr w:type="spellEnd"/>
      <w:r w:rsidRPr="00C7144A">
        <w:rPr>
          <w:spacing w:val="-4"/>
          <w:sz w:val="24"/>
          <w:szCs w:val="24"/>
        </w:rPr>
        <w:t xml:space="preserve"> Тула</w:t>
      </w:r>
      <w:r w:rsidRPr="00C7144A">
        <w:rPr>
          <w:sz w:val="24"/>
          <w:szCs w:val="24"/>
        </w:rPr>
        <w:t>».</w:t>
      </w:r>
    </w:p>
    <w:p w:rsidR="00F710F7" w:rsidRPr="00C7144A" w:rsidRDefault="00F710F7" w:rsidP="00F47F1C">
      <w:pPr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Газораспределительными организациями (далее – ГРО), осуществляющими транспортировку природного газа потребителям Тульской области, являются акционерное общество «Газпром газораспределение Тула», акционерное общество «</w:t>
      </w:r>
      <w:proofErr w:type="spellStart"/>
      <w:r w:rsidRPr="00C7144A">
        <w:rPr>
          <w:rFonts w:ascii="Arial" w:hAnsi="Arial" w:cs="Arial"/>
          <w:sz w:val="24"/>
          <w:szCs w:val="24"/>
        </w:rPr>
        <w:t>Тулагоргаз</w:t>
      </w:r>
      <w:proofErr w:type="spellEnd"/>
      <w:r w:rsidRPr="00C7144A">
        <w:rPr>
          <w:rFonts w:ascii="Arial" w:hAnsi="Arial" w:cs="Arial"/>
          <w:sz w:val="24"/>
          <w:szCs w:val="24"/>
        </w:rPr>
        <w:t>».</w:t>
      </w:r>
    </w:p>
    <w:p w:rsidR="00F710F7" w:rsidRPr="00C7144A" w:rsidRDefault="00F710F7" w:rsidP="00F47F1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lastRenderedPageBreak/>
        <w:t xml:space="preserve">Реализация мероприятий по строительству </w:t>
      </w:r>
      <w:proofErr w:type="spellStart"/>
      <w:r w:rsidRPr="00C7144A">
        <w:rPr>
          <w:sz w:val="24"/>
          <w:szCs w:val="24"/>
        </w:rPr>
        <w:t>внутрипоселковых</w:t>
      </w:r>
      <w:proofErr w:type="spellEnd"/>
      <w:r w:rsidRPr="00C7144A">
        <w:rPr>
          <w:sz w:val="24"/>
          <w:szCs w:val="24"/>
        </w:rPr>
        <w:t xml:space="preserve"> газораспределительных сетей будет способствовать улучшению условий проживания населения, обеспечению его горячим водоснабжением, теплоснабжением, качественными жилищно-коммунальными услугами. Социальный результат газификации позволяет решить задачу создания благоприятных и комфортных условий для проживания как городского, так и сельского населения. </w:t>
      </w:r>
    </w:p>
    <w:p w:rsidR="00D231D9" w:rsidRPr="00C7144A" w:rsidRDefault="00D231D9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Неудовлетворительное состояние систем водоснабжения, водоотведения, очистки сточных вод, теплоснабжения высокой степенью износа инженерных сетей - от 60% до 85%. Вследствие низких капитальных вложений инфраструктура, связанная с водоснабжением, водоотведением, очисткой сточных вод, теплоснабжения стремительно изнашивается, что приводит к перерывам в поставках воды и тепла, т.е. к снижению качества оказываемых услуг.</w:t>
      </w:r>
    </w:p>
    <w:p w:rsidR="00F710F7" w:rsidRPr="00C7144A" w:rsidRDefault="00F710F7" w:rsidP="00F47F1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F710F7" w:rsidRPr="00C7144A" w:rsidRDefault="00F710F7" w:rsidP="00F47F1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 xml:space="preserve">Цель и задачи муниципальной программы, прогноз развития сферы строительства, прогноз конечных результатов </w:t>
      </w:r>
    </w:p>
    <w:p w:rsidR="00F710F7" w:rsidRPr="00C7144A" w:rsidRDefault="00F710F7" w:rsidP="00F47F1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Цель муниципальной программы – улучшение жилищных условий граждан, проживающих на территории Кимовского района.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Достижение указанной цели обеспечивается за счет решения следующих задач программы: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1.</w:t>
      </w:r>
      <w:r w:rsidRPr="00C7144A">
        <w:rPr>
          <w:rFonts w:ascii="Arial" w:hAnsi="Arial" w:cs="Arial"/>
          <w:sz w:val="24"/>
          <w:szCs w:val="24"/>
        </w:rPr>
        <w:tab/>
        <w:t>Создание условий для обеспечения доступности жилья для граждан, проживающих на территории Кимовского района.</w:t>
      </w:r>
    </w:p>
    <w:p w:rsidR="00C54451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2.</w:t>
      </w:r>
      <w:r w:rsidRPr="00C7144A">
        <w:rPr>
          <w:rFonts w:ascii="Arial" w:hAnsi="Arial" w:cs="Arial"/>
          <w:sz w:val="24"/>
          <w:szCs w:val="24"/>
        </w:rPr>
        <w:tab/>
        <w:t xml:space="preserve">Создание условий для газификации населенных пунктов </w:t>
      </w:r>
      <w:proofErr w:type="spellStart"/>
      <w:r w:rsidRPr="00C7144A">
        <w:rPr>
          <w:rFonts w:ascii="Arial" w:hAnsi="Arial" w:cs="Arial"/>
          <w:sz w:val="24"/>
          <w:szCs w:val="24"/>
        </w:rPr>
        <w:t>Кимовског</w:t>
      </w:r>
      <w:proofErr w:type="spellEnd"/>
      <w:r w:rsidRPr="00C7144A">
        <w:rPr>
          <w:rFonts w:ascii="Arial" w:hAnsi="Arial" w:cs="Arial"/>
          <w:sz w:val="24"/>
          <w:szCs w:val="24"/>
        </w:rPr>
        <w:t xml:space="preserve"> района.</w:t>
      </w:r>
      <w:r w:rsidR="00C54451" w:rsidRPr="00C7144A">
        <w:rPr>
          <w:rFonts w:ascii="Arial" w:hAnsi="Arial" w:cs="Arial"/>
          <w:sz w:val="24"/>
          <w:szCs w:val="24"/>
        </w:rPr>
        <w:t xml:space="preserve"> 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По итогам реализации программы планируется улучшение жилищных условий граждан, проживающих на территории Кимовского района, и достижение следующих показателей результативности программы:</w:t>
      </w:r>
    </w:p>
    <w:p w:rsidR="00F710F7" w:rsidRPr="00C7144A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>Увеличение объема жилищного строительства (ввод в действие жилых домов) до 40,7 тыс. кв. м в год к концу 2025 года.</w:t>
      </w:r>
    </w:p>
    <w:p w:rsidR="00F710F7" w:rsidRPr="00C7144A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>Ввод жилья в рамках мероприятий по стимулированию программ развития жилищного строительства в Тульской области составит</w:t>
      </w:r>
      <w:r w:rsidRPr="00C7144A">
        <w:rPr>
          <w:sz w:val="24"/>
          <w:szCs w:val="24"/>
        </w:rPr>
        <w:br/>
        <w:t>16,7 тыс. кв. м к концу 2025 года.</w:t>
      </w:r>
    </w:p>
    <w:p w:rsidR="00F710F7" w:rsidRPr="00C7144A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>Количество построенных и введенных в эксплуатацию объектов в рамках мероприятия по развитию жилищного строительства в Тульской области составит 2 единицы к концу 2025 года.</w:t>
      </w:r>
    </w:p>
    <w:p w:rsidR="00F710F7" w:rsidRPr="00C7144A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</w:t>
      </w:r>
      <w:r w:rsidR="003150DB" w:rsidRPr="00C7144A">
        <w:rPr>
          <w:sz w:val="24"/>
          <w:szCs w:val="24"/>
        </w:rPr>
        <w:t>99</w:t>
      </w:r>
      <w:r w:rsidRPr="00C7144A">
        <w:rPr>
          <w:sz w:val="24"/>
          <w:szCs w:val="24"/>
        </w:rPr>
        <w:t xml:space="preserve"> семей.</w:t>
      </w:r>
    </w:p>
    <w:p w:rsidR="00F710F7" w:rsidRPr="00C7144A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 xml:space="preserve"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</w:t>
      </w:r>
      <w:r w:rsidR="003150DB" w:rsidRPr="00C7144A">
        <w:rPr>
          <w:sz w:val="24"/>
          <w:szCs w:val="24"/>
        </w:rPr>
        <w:t>4</w:t>
      </w:r>
      <w:r w:rsidRPr="00C7144A">
        <w:rPr>
          <w:sz w:val="24"/>
          <w:szCs w:val="24"/>
        </w:rPr>
        <w:t xml:space="preserve"> семей.</w:t>
      </w:r>
    </w:p>
    <w:p w:rsidR="00F710F7" w:rsidRPr="00C7144A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 xml:space="preserve">Увеличение протяженности построенных </w:t>
      </w:r>
      <w:proofErr w:type="spellStart"/>
      <w:r w:rsidRPr="00C7144A">
        <w:rPr>
          <w:sz w:val="24"/>
          <w:szCs w:val="24"/>
        </w:rPr>
        <w:t>внутрипоселковых</w:t>
      </w:r>
      <w:proofErr w:type="spellEnd"/>
      <w:r w:rsidRPr="00C7144A">
        <w:rPr>
          <w:sz w:val="24"/>
          <w:szCs w:val="24"/>
        </w:rPr>
        <w:t xml:space="preserve"> распределительных газопроводов на 5,4 километра к концу 2025 года.</w:t>
      </w:r>
    </w:p>
    <w:p w:rsidR="00AF1414" w:rsidRPr="00C7144A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b/>
          <w:sz w:val="24"/>
          <w:szCs w:val="24"/>
        </w:rPr>
      </w:pPr>
      <w:r w:rsidRPr="00C7144A">
        <w:rPr>
          <w:sz w:val="24"/>
          <w:szCs w:val="24"/>
        </w:rPr>
        <w:t>Увеличение газифицированных населенных пунктов Кимовского района на 2 единицы к концу 2025 года.</w:t>
      </w:r>
    </w:p>
    <w:p w:rsidR="00F710F7" w:rsidRPr="00C7144A" w:rsidRDefault="00F710F7" w:rsidP="00F47F1C">
      <w:pPr>
        <w:pStyle w:val="ConsPlusNormal"/>
        <w:ind w:left="709"/>
        <w:contextualSpacing/>
        <w:jc w:val="both"/>
        <w:rPr>
          <w:b/>
          <w:sz w:val="24"/>
          <w:szCs w:val="24"/>
        </w:rPr>
      </w:pPr>
    </w:p>
    <w:p w:rsidR="00F710F7" w:rsidRPr="00C7144A" w:rsidRDefault="00F710F7" w:rsidP="00F47F1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Этапы и сроки реализации муниципальной программы</w:t>
      </w:r>
    </w:p>
    <w:p w:rsidR="00F710F7" w:rsidRPr="00C7144A" w:rsidRDefault="00F710F7" w:rsidP="00F47F1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Программа реализуется в один этап с 20</w:t>
      </w:r>
      <w:r w:rsidR="00AF1414" w:rsidRPr="00C7144A">
        <w:rPr>
          <w:rFonts w:ascii="Arial" w:hAnsi="Arial" w:cs="Arial"/>
          <w:sz w:val="24"/>
          <w:szCs w:val="24"/>
        </w:rPr>
        <w:t>21</w:t>
      </w:r>
      <w:r w:rsidRPr="00C7144A">
        <w:rPr>
          <w:rFonts w:ascii="Arial" w:hAnsi="Arial" w:cs="Arial"/>
          <w:sz w:val="24"/>
          <w:szCs w:val="24"/>
        </w:rPr>
        <w:t xml:space="preserve"> по 2025 год.</w:t>
      </w:r>
    </w:p>
    <w:p w:rsidR="00935AA9" w:rsidRPr="00C7144A" w:rsidRDefault="00935AA9" w:rsidP="00F47F1C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pStyle w:val="a3"/>
        <w:numPr>
          <w:ilvl w:val="0"/>
          <w:numId w:val="3"/>
        </w:numPr>
        <w:tabs>
          <w:tab w:val="left" w:pos="29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Основные меры правового регулирования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3312"/>
        <w:gridCol w:w="2220"/>
        <w:gridCol w:w="1462"/>
        <w:gridCol w:w="2071"/>
      </w:tblGrid>
      <w:tr w:rsidR="00F710F7" w:rsidRPr="00F54191" w:rsidTr="00935AA9">
        <w:trPr>
          <w:tblHeader/>
        </w:trPr>
        <w:tc>
          <w:tcPr>
            <w:tcW w:w="1902" w:type="pct"/>
            <w:gridSpan w:val="2"/>
          </w:tcPr>
          <w:p w:rsidR="00F710F7" w:rsidRPr="00F54191" w:rsidRDefault="00F710F7" w:rsidP="00F47F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>Наименование (направление) мероприятия (проекта)</w:t>
            </w:r>
          </w:p>
        </w:tc>
        <w:tc>
          <w:tcPr>
            <w:tcW w:w="1195" w:type="pct"/>
          </w:tcPr>
          <w:p w:rsidR="00F710F7" w:rsidRPr="00F54191" w:rsidRDefault="00F710F7" w:rsidP="00F47F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787" w:type="pct"/>
          </w:tcPr>
          <w:p w:rsidR="00F710F7" w:rsidRPr="00F54191" w:rsidRDefault="00F710F7" w:rsidP="00F47F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1116" w:type="pct"/>
          </w:tcPr>
          <w:p w:rsidR="00F710F7" w:rsidRPr="00F54191" w:rsidRDefault="00F710F7" w:rsidP="00F47F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F710F7" w:rsidRPr="00F54191" w:rsidTr="00FF4DDC">
        <w:tc>
          <w:tcPr>
            <w:tcW w:w="5000" w:type="pct"/>
            <w:gridSpan w:val="5"/>
          </w:tcPr>
          <w:p w:rsidR="00F710F7" w:rsidRPr="00F54191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54191">
              <w:rPr>
                <w:sz w:val="24"/>
                <w:szCs w:val="24"/>
              </w:rPr>
              <w:t xml:space="preserve">Подпрограмма </w:t>
            </w:r>
            <w:r w:rsidR="00F6612D" w:rsidRPr="00F54191">
              <w:rPr>
                <w:sz w:val="24"/>
                <w:szCs w:val="24"/>
              </w:rPr>
              <w:t>«Обеспечение жильем молодых семей в муниципальном образовании Кимовский район на 20</w:t>
            </w:r>
            <w:r w:rsidR="00AF1414" w:rsidRPr="00F54191">
              <w:rPr>
                <w:sz w:val="24"/>
                <w:szCs w:val="24"/>
              </w:rPr>
              <w:t>21</w:t>
            </w:r>
            <w:r w:rsidR="00F6612D" w:rsidRPr="00F54191">
              <w:rPr>
                <w:sz w:val="24"/>
                <w:szCs w:val="24"/>
              </w:rPr>
              <w:t>-2025 годы»</w:t>
            </w:r>
          </w:p>
        </w:tc>
      </w:tr>
      <w:tr w:rsidR="00F710F7" w:rsidRPr="00F54191" w:rsidTr="00935AA9">
        <w:tc>
          <w:tcPr>
            <w:tcW w:w="120" w:type="pct"/>
            <w:tcBorders>
              <w:right w:val="nil"/>
            </w:tcBorders>
          </w:tcPr>
          <w:p w:rsidR="00F710F7" w:rsidRPr="00F54191" w:rsidRDefault="00F710F7" w:rsidP="00F47F1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pct"/>
            <w:tcBorders>
              <w:left w:val="nil"/>
            </w:tcBorders>
          </w:tcPr>
          <w:p w:rsidR="00F710F7" w:rsidRPr="00F54191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>Положение о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приобретения (строительства) жилого помещения</w:t>
            </w:r>
          </w:p>
        </w:tc>
        <w:tc>
          <w:tcPr>
            <w:tcW w:w="1195" w:type="pct"/>
          </w:tcPr>
          <w:p w:rsidR="00F710F7" w:rsidRPr="00F54191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Кимовский район</w:t>
            </w:r>
          </w:p>
        </w:tc>
        <w:tc>
          <w:tcPr>
            <w:tcW w:w="787" w:type="pct"/>
          </w:tcPr>
          <w:p w:rsidR="00F710F7" w:rsidRPr="00F54191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16" w:type="pct"/>
          </w:tcPr>
          <w:p w:rsidR="00F710F7" w:rsidRPr="00F54191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 xml:space="preserve">Комитет жилищно-коммунального хозяйства </w:t>
            </w:r>
          </w:p>
        </w:tc>
      </w:tr>
      <w:tr w:rsidR="00F710F7" w:rsidRPr="00F54191" w:rsidTr="00935AA9">
        <w:trPr>
          <w:trHeight w:val="3297"/>
        </w:trPr>
        <w:tc>
          <w:tcPr>
            <w:tcW w:w="120" w:type="pct"/>
            <w:tcBorders>
              <w:right w:val="nil"/>
            </w:tcBorders>
          </w:tcPr>
          <w:p w:rsidR="00F710F7" w:rsidRPr="00F54191" w:rsidRDefault="00F710F7" w:rsidP="00F47F1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3" w:type="pct"/>
            <w:tcBorders>
              <w:left w:val="nil"/>
            </w:tcBorders>
          </w:tcPr>
          <w:p w:rsidR="00F710F7" w:rsidRPr="00F54191" w:rsidRDefault="00F710F7" w:rsidP="00F47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 xml:space="preserve">Формирования списка молодых семей – муниципальных участников на получение социальной выплаты для приобретения (строительства) жилого помещения по Тульской </w:t>
            </w:r>
            <w:r w:rsidR="00C7144A" w:rsidRPr="00F54191">
              <w:rPr>
                <w:rFonts w:ascii="Arial" w:hAnsi="Arial" w:cs="Arial"/>
                <w:sz w:val="24"/>
                <w:szCs w:val="24"/>
              </w:rPr>
              <w:t>области на соответствующий год.</w:t>
            </w:r>
          </w:p>
        </w:tc>
        <w:tc>
          <w:tcPr>
            <w:tcW w:w="1195" w:type="pct"/>
          </w:tcPr>
          <w:p w:rsidR="00F710F7" w:rsidRPr="00F54191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</w:tcPr>
          <w:p w:rsidR="00F710F7" w:rsidRPr="00F54191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>Ежегодно, до 1 июня</w:t>
            </w:r>
          </w:p>
        </w:tc>
        <w:tc>
          <w:tcPr>
            <w:tcW w:w="1116" w:type="pct"/>
          </w:tcPr>
          <w:p w:rsidR="00F710F7" w:rsidRPr="00F54191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191">
              <w:rPr>
                <w:rFonts w:ascii="Arial" w:hAnsi="Arial" w:cs="Arial"/>
                <w:sz w:val="24"/>
                <w:szCs w:val="24"/>
              </w:rPr>
              <w:t xml:space="preserve">Комитет жилищно-коммунального хозяйства </w:t>
            </w:r>
          </w:p>
        </w:tc>
      </w:tr>
    </w:tbl>
    <w:p w:rsidR="00F42196" w:rsidRPr="00C7144A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  <w:sectPr w:rsidR="00F42196" w:rsidRPr="00C7144A" w:rsidSect="00243BB2">
          <w:pgSz w:w="11906" w:h="16838"/>
          <w:pgMar w:top="1134" w:right="1134" w:bottom="1276" w:left="1701" w:header="709" w:footer="709" w:gutter="0"/>
          <w:pgNumType w:start="1" w:chapStyle="1"/>
          <w:cols w:space="708"/>
          <w:docGrid w:linePitch="360"/>
        </w:sectPr>
      </w:pPr>
      <w:r w:rsidRPr="00C7144A">
        <w:rPr>
          <w:rFonts w:ascii="Arial" w:hAnsi="Arial" w:cs="Arial"/>
          <w:sz w:val="24"/>
          <w:szCs w:val="24"/>
        </w:rPr>
        <w:t>По мере реализации муниципальной программы будут приниматься соответствующие правовые акты, необходимые для реализации данной программы.</w:t>
      </w:r>
    </w:p>
    <w:p w:rsidR="00F710F7" w:rsidRPr="00C7144A" w:rsidRDefault="00F710F7" w:rsidP="00F47F1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 xml:space="preserve">Текст подпрограмм, включенных в муниципальную программу </w:t>
      </w:r>
    </w:p>
    <w:p w:rsidR="00F710F7" w:rsidRPr="00C7144A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Подпрограмма «</w:t>
      </w:r>
      <w:r w:rsidR="000740B5" w:rsidRPr="00C7144A">
        <w:rPr>
          <w:rFonts w:ascii="Arial" w:hAnsi="Arial" w:cs="Arial"/>
          <w:b/>
          <w:sz w:val="24"/>
          <w:szCs w:val="24"/>
        </w:rPr>
        <w:t>Обеспечение жильем молодых семей</w:t>
      </w:r>
      <w:r w:rsidR="00214247" w:rsidRPr="00C7144A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 на 2018-2025 годы»</w:t>
      </w:r>
    </w:p>
    <w:p w:rsidR="00F710F7" w:rsidRPr="00C7144A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F710F7" w:rsidRPr="00C7144A" w:rsidTr="00FF4DDC">
        <w:tc>
          <w:tcPr>
            <w:tcW w:w="2802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C7144A" w:rsidRDefault="00214247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Обеспечение жильем молодых семей в муниципальном образовании Кимовский район на 2018-2025 годы</w:t>
            </w:r>
          </w:p>
        </w:tc>
      </w:tr>
      <w:tr w:rsidR="00F710F7" w:rsidRPr="00C7144A" w:rsidTr="00FF4DDC">
        <w:tc>
          <w:tcPr>
            <w:tcW w:w="2802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Комитет жилищно-коммунального хозяйства администрации муниципального образования Кимовский район </w:t>
            </w:r>
          </w:p>
        </w:tc>
      </w:tr>
      <w:tr w:rsidR="00F710F7" w:rsidRPr="00C7144A" w:rsidTr="00FF4DDC">
        <w:tc>
          <w:tcPr>
            <w:tcW w:w="2802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</w:t>
            </w:r>
          </w:p>
        </w:tc>
      </w:tr>
      <w:tr w:rsidR="00F710F7" w:rsidRPr="00C7144A" w:rsidTr="00FF4DDC">
        <w:tc>
          <w:tcPr>
            <w:tcW w:w="2802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C7144A">
              <w:rPr>
                <w:sz w:val="24"/>
                <w:szCs w:val="24"/>
              </w:rPr>
              <w:t>порядке</w:t>
            </w:r>
            <w:proofErr w:type="gramEnd"/>
            <w:r w:rsidRPr="00C7144A">
              <w:rPr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F710F7" w:rsidRPr="00C7144A" w:rsidTr="00FF4DDC">
        <w:tc>
          <w:tcPr>
            <w:tcW w:w="2802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C7144A" w:rsidRDefault="00F710F7" w:rsidP="001A0C85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семей.</w:t>
            </w:r>
          </w:p>
          <w:p w:rsidR="00F710F7" w:rsidRPr="00C7144A" w:rsidRDefault="00F710F7" w:rsidP="001A0C85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</w:tc>
      </w:tr>
      <w:tr w:rsidR="00F710F7" w:rsidRPr="00C7144A" w:rsidTr="00FF4DDC">
        <w:tc>
          <w:tcPr>
            <w:tcW w:w="2802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Подпрограмма реализуется в один этап с 20</w:t>
            </w:r>
            <w:r w:rsidR="00AF1414" w:rsidRPr="00C7144A">
              <w:rPr>
                <w:sz w:val="24"/>
                <w:szCs w:val="24"/>
              </w:rPr>
              <w:t>21</w:t>
            </w:r>
            <w:r w:rsidRPr="00C7144A">
              <w:rPr>
                <w:sz w:val="24"/>
                <w:szCs w:val="24"/>
              </w:rPr>
              <w:t xml:space="preserve"> по 2025 год</w:t>
            </w:r>
          </w:p>
        </w:tc>
      </w:tr>
      <w:tr w:rsidR="00F710F7" w:rsidRPr="00C7144A" w:rsidTr="0019796A">
        <w:tc>
          <w:tcPr>
            <w:tcW w:w="2802" w:type="dxa"/>
            <w:vMerge w:val="restart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Объем ресурсного обеспечения подпрограммы,</w:t>
            </w:r>
            <w:r w:rsidR="00F07538">
              <w:rPr>
                <w:sz w:val="24"/>
                <w:szCs w:val="24"/>
              </w:rPr>
              <w:t xml:space="preserve"> </w:t>
            </w:r>
            <w:r w:rsidRPr="00C7144A"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Источники финансирования/</w:t>
            </w:r>
            <w:r w:rsidR="00F07538">
              <w:rPr>
                <w:sz w:val="24"/>
                <w:szCs w:val="24"/>
              </w:rPr>
              <w:t xml:space="preserve"> </w:t>
            </w:r>
            <w:r w:rsidRPr="00C7144A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внебюджетные источники</w:t>
            </w:r>
          </w:p>
        </w:tc>
      </w:tr>
      <w:tr w:rsidR="009021EB" w:rsidRPr="00C7144A" w:rsidTr="0019796A">
        <w:tc>
          <w:tcPr>
            <w:tcW w:w="2802" w:type="dxa"/>
            <w:vMerge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19 318,743</w:t>
            </w:r>
          </w:p>
        </w:tc>
        <w:tc>
          <w:tcPr>
            <w:tcW w:w="992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3 089,665</w:t>
            </w:r>
          </w:p>
        </w:tc>
        <w:tc>
          <w:tcPr>
            <w:tcW w:w="1843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15 108,591 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91D00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1 120</w:t>
            </w:r>
            <w:r w:rsidR="009021EB" w:rsidRPr="00C7144A">
              <w:rPr>
                <w:sz w:val="24"/>
                <w:szCs w:val="24"/>
              </w:rPr>
              <w:t>,</w:t>
            </w:r>
            <w:r w:rsidRPr="00C7144A">
              <w:rPr>
                <w:sz w:val="24"/>
                <w:szCs w:val="24"/>
              </w:rPr>
              <w:t>487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021EB" w:rsidRPr="00C7144A" w:rsidTr="0019796A">
        <w:tc>
          <w:tcPr>
            <w:tcW w:w="2802" w:type="dxa"/>
            <w:vMerge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14 319,978</w:t>
            </w:r>
          </w:p>
        </w:tc>
        <w:tc>
          <w:tcPr>
            <w:tcW w:w="992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1 327,011</w:t>
            </w:r>
          </w:p>
        </w:tc>
        <w:tc>
          <w:tcPr>
            <w:tcW w:w="1843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11 492,967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021EB" w:rsidRPr="00C7144A" w:rsidTr="0019796A">
        <w:tc>
          <w:tcPr>
            <w:tcW w:w="2802" w:type="dxa"/>
            <w:vMerge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12 478,810</w:t>
            </w:r>
          </w:p>
        </w:tc>
        <w:tc>
          <w:tcPr>
            <w:tcW w:w="992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1 133,497</w:t>
            </w:r>
          </w:p>
        </w:tc>
        <w:tc>
          <w:tcPr>
            <w:tcW w:w="1843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9 845,313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021EB" w:rsidRPr="00C7144A" w:rsidTr="0019796A">
        <w:tc>
          <w:tcPr>
            <w:tcW w:w="2802" w:type="dxa"/>
            <w:vMerge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12 463,631</w:t>
            </w:r>
          </w:p>
        </w:tc>
        <w:tc>
          <w:tcPr>
            <w:tcW w:w="992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1 131,911</w:t>
            </w:r>
          </w:p>
        </w:tc>
        <w:tc>
          <w:tcPr>
            <w:tcW w:w="1843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9 831,720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021EB" w:rsidRPr="00C7144A" w:rsidTr="0019796A">
        <w:tc>
          <w:tcPr>
            <w:tcW w:w="2802" w:type="dxa"/>
            <w:vMerge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021EB" w:rsidRPr="00C7144A" w:rsidRDefault="009021EB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12 463,631</w:t>
            </w:r>
          </w:p>
        </w:tc>
        <w:tc>
          <w:tcPr>
            <w:tcW w:w="992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1 131,911</w:t>
            </w:r>
          </w:p>
        </w:tc>
        <w:tc>
          <w:tcPr>
            <w:tcW w:w="1843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9 831,720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9021EB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F710F7" w:rsidRPr="00C7144A" w:rsidTr="0019796A">
        <w:tc>
          <w:tcPr>
            <w:tcW w:w="2802" w:type="dxa"/>
            <w:vMerge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710F7" w:rsidRPr="00C7144A" w:rsidRDefault="00F710F7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10F7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7</w:t>
            </w:r>
            <w:r w:rsidR="007746C5" w:rsidRPr="00C7144A">
              <w:rPr>
                <w:sz w:val="24"/>
                <w:szCs w:val="24"/>
              </w:rPr>
              <w:t>1</w:t>
            </w:r>
            <w:r w:rsidRPr="00C7144A">
              <w:rPr>
                <w:sz w:val="24"/>
                <w:szCs w:val="24"/>
              </w:rPr>
              <w:t> 044,793</w:t>
            </w:r>
          </w:p>
        </w:tc>
        <w:tc>
          <w:tcPr>
            <w:tcW w:w="992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7 813,995</w:t>
            </w:r>
          </w:p>
        </w:tc>
        <w:tc>
          <w:tcPr>
            <w:tcW w:w="1843" w:type="dxa"/>
            <w:shd w:val="clear" w:color="auto" w:fill="auto"/>
          </w:tcPr>
          <w:p w:rsidR="00F710F7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56 110,311</w:t>
            </w:r>
          </w:p>
        </w:tc>
        <w:tc>
          <w:tcPr>
            <w:tcW w:w="1701" w:type="dxa"/>
            <w:shd w:val="clear" w:color="auto" w:fill="auto"/>
          </w:tcPr>
          <w:p w:rsidR="00711645" w:rsidRPr="00C7144A" w:rsidRDefault="009021EB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7 120,487</w:t>
            </w:r>
          </w:p>
        </w:tc>
        <w:tc>
          <w:tcPr>
            <w:tcW w:w="1701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F710F7" w:rsidRPr="00C7144A" w:rsidTr="00FF4DDC">
        <w:tc>
          <w:tcPr>
            <w:tcW w:w="2802" w:type="dxa"/>
            <w:shd w:val="clear" w:color="auto" w:fill="auto"/>
          </w:tcPr>
          <w:p w:rsidR="00F710F7" w:rsidRPr="00C7144A" w:rsidRDefault="00F710F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C7144A" w:rsidRDefault="00F710F7" w:rsidP="001A0C85">
            <w:pPr>
              <w:pStyle w:val="ConsPlusNormal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</w:t>
            </w:r>
            <w:r w:rsidR="00991D00" w:rsidRPr="00C7144A">
              <w:rPr>
                <w:sz w:val="24"/>
                <w:szCs w:val="24"/>
              </w:rPr>
              <w:t>99</w:t>
            </w:r>
            <w:r w:rsidRPr="00C7144A">
              <w:rPr>
                <w:sz w:val="24"/>
                <w:szCs w:val="24"/>
              </w:rPr>
              <w:t xml:space="preserve"> семей.</w:t>
            </w:r>
          </w:p>
          <w:p w:rsidR="00F710F7" w:rsidRPr="00C7144A" w:rsidRDefault="00F710F7" w:rsidP="001A0C85">
            <w:pPr>
              <w:pStyle w:val="ConsPlusNormal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</w:t>
            </w:r>
            <w:r w:rsidR="00991D00" w:rsidRPr="00C7144A">
              <w:rPr>
                <w:sz w:val="24"/>
                <w:szCs w:val="24"/>
              </w:rPr>
              <w:t xml:space="preserve">4 </w:t>
            </w:r>
            <w:r w:rsidRPr="00C7144A">
              <w:rPr>
                <w:sz w:val="24"/>
                <w:szCs w:val="24"/>
              </w:rPr>
              <w:t>семей.</w:t>
            </w:r>
          </w:p>
        </w:tc>
      </w:tr>
    </w:tbl>
    <w:p w:rsidR="00F710F7" w:rsidRPr="00C7144A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F710F7" w:rsidRPr="00C7144A" w:rsidSect="00F4219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710F7" w:rsidRPr="00C7144A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Цель и задачи, ожидаемые результаты реализации подпрограммы</w:t>
      </w:r>
    </w:p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hAnsi="Arial" w:cs="Arial"/>
          <w:b/>
          <w:sz w:val="24"/>
          <w:szCs w:val="24"/>
        </w:rPr>
      </w:pPr>
    </w:p>
    <w:p w:rsidR="0082736D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Цель</w:t>
      </w:r>
      <w:r w:rsidR="00BE6B75" w:rsidRPr="00C7144A">
        <w:rPr>
          <w:rFonts w:ascii="Arial" w:hAnsi="Arial" w:cs="Arial"/>
          <w:sz w:val="24"/>
          <w:szCs w:val="24"/>
        </w:rPr>
        <w:t>ю</w:t>
      </w:r>
      <w:r w:rsidRPr="00C7144A">
        <w:rPr>
          <w:rFonts w:ascii="Arial" w:hAnsi="Arial" w:cs="Arial"/>
          <w:sz w:val="24"/>
          <w:szCs w:val="24"/>
        </w:rPr>
        <w:t xml:space="preserve"> подпрограммы </w:t>
      </w:r>
      <w:r w:rsidR="00862186" w:rsidRPr="00C7144A">
        <w:rPr>
          <w:rFonts w:ascii="Arial" w:hAnsi="Arial" w:cs="Arial"/>
          <w:sz w:val="24"/>
          <w:szCs w:val="24"/>
        </w:rPr>
        <w:t>яв</w:t>
      </w:r>
      <w:r w:rsidR="0082736D" w:rsidRPr="00C7144A">
        <w:rPr>
          <w:rFonts w:ascii="Arial" w:hAnsi="Arial" w:cs="Arial"/>
          <w:sz w:val="24"/>
          <w:szCs w:val="24"/>
        </w:rPr>
        <w:t>ляется предоставление государственной поддержки в решении жилищной проблемы молодым семьям, нуждающимся в улучшении жилищных условий. Основные задачи подпрограммы: предоставление молодым семьям социальных выплат на</w:t>
      </w:r>
      <w:r w:rsidR="00862186" w:rsidRPr="00C7144A">
        <w:rPr>
          <w:rFonts w:ascii="Arial" w:hAnsi="Arial" w:cs="Arial"/>
          <w:sz w:val="24"/>
          <w:szCs w:val="24"/>
        </w:rPr>
        <w:t xml:space="preserve"> приобретение жилья </w:t>
      </w:r>
      <w:proofErr w:type="spellStart"/>
      <w:r w:rsidR="00862186" w:rsidRPr="00C7144A">
        <w:rPr>
          <w:rFonts w:ascii="Arial" w:hAnsi="Arial" w:cs="Arial"/>
          <w:sz w:val="24"/>
          <w:szCs w:val="24"/>
        </w:rPr>
        <w:t>экономкласса</w:t>
      </w:r>
      <w:proofErr w:type="spellEnd"/>
      <w:r w:rsidR="0082736D" w:rsidRPr="00C7144A">
        <w:rPr>
          <w:rFonts w:ascii="Arial" w:hAnsi="Arial" w:cs="Arial"/>
          <w:sz w:val="24"/>
          <w:szCs w:val="24"/>
        </w:rPr>
        <w:t xml:space="preserve"> или строительство индивидуального жилого дома </w:t>
      </w:r>
      <w:proofErr w:type="spellStart"/>
      <w:r w:rsidR="0082736D" w:rsidRPr="00C7144A">
        <w:rPr>
          <w:rFonts w:ascii="Arial" w:hAnsi="Arial" w:cs="Arial"/>
          <w:sz w:val="24"/>
          <w:szCs w:val="24"/>
        </w:rPr>
        <w:t>экономкласса</w:t>
      </w:r>
      <w:proofErr w:type="spellEnd"/>
      <w:r w:rsidR="0082736D" w:rsidRPr="00C7144A">
        <w:rPr>
          <w:rFonts w:ascii="Arial" w:hAnsi="Arial" w:cs="Arial"/>
          <w:sz w:val="24"/>
          <w:szCs w:val="24"/>
        </w:rPr>
        <w:t xml:space="preserve"> создание условий для обеспечения доступности жилья для граждан, проживающих на территории Кимовского района.</w:t>
      </w:r>
    </w:p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Ожидаемые результаты реализации подпрограммы:</w:t>
      </w:r>
    </w:p>
    <w:p w:rsidR="00F710F7" w:rsidRPr="00C7144A" w:rsidRDefault="00F710F7" w:rsidP="001A0C85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</w:t>
      </w:r>
      <w:r w:rsidR="003150DB" w:rsidRPr="00C7144A">
        <w:rPr>
          <w:sz w:val="24"/>
          <w:szCs w:val="24"/>
        </w:rPr>
        <w:t xml:space="preserve">99 </w:t>
      </w:r>
      <w:r w:rsidRPr="00C7144A">
        <w:rPr>
          <w:sz w:val="24"/>
          <w:szCs w:val="24"/>
        </w:rPr>
        <w:t>семей.</w:t>
      </w:r>
    </w:p>
    <w:p w:rsidR="00F710F7" w:rsidRPr="00C7144A" w:rsidRDefault="00F710F7" w:rsidP="001A0C85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 xml:space="preserve"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</w:t>
      </w:r>
      <w:r w:rsidR="003150DB" w:rsidRPr="00C7144A">
        <w:rPr>
          <w:sz w:val="24"/>
          <w:szCs w:val="24"/>
        </w:rPr>
        <w:t>4</w:t>
      </w:r>
      <w:r w:rsidRPr="00C7144A">
        <w:rPr>
          <w:sz w:val="24"/>
          <w:szCs w:val="24"/>
        </w:rPr>
        <w:t xml:space="preserve"> семей.</w:t>
      </w:r>
    </w:p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F710F7" w:rsidRPr="00C7144A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7144A">
        <w:rPr>
          <w:rFonts w:ascii="Arial" w:hAnsi="Arial" w:cs="Arial"/>
          <w:sz w:val="24"/>
          <w:szCs w:val="24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</w:t>
      </w:r>
    </w:p>
    <w:p w:rsidR="00F710F7" w:rsidRPr="00C7144A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>Перечень мероприятий и проектов подпрограммы</w:t>
      </w:r>
    </w:p>
    <w:tbl>
      <w:tblPr>
        <w:tblW w:w="15311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2"/>
        <w:gridCol w:w="1769"/>
        <w:gridCol w:w="1506"/>
        <w:gridCol w:w="17"/>
        <w:gridCol w:w="1684"/>
        <w:gridCol w:w="17"/>
        <w:gridCol w:w="2108"/>
        <w:gridCol w:w="17"/>
        <w:gridCol w:w="1543"/>
        <w:gridCol w:w="17"/>
        <w:gridCol w:w="1454"/>
        <w:gridCol w:w="2127"/>
      </w:tblGrid>
      <w:tr w:rsidR="00F710F7" w:rsidRPr="00C7144A" w:rsidTr="00F5419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54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44A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F710F7" w:rsidRPr="00C7144A" w:rsidTr="00F5419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0F7" w:rsidRPr="00C7144A" w:rsidTr="00F5419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бюджета Тульской</w:t>
            </w:r>
            <w:r w:rsidR="00F54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44A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0F7" w:rsidRPr="00C7144A" w:rsidTr="00F54191">
        <w:trPr>
          <w:tblHeader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10F7" w:rsidRPr="00C7144A" w:rsidTr="00F54191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9069E" w:rsidP="00F47F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7FDE" w:rsidRPr="00C7144A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 в муниципальном образовании Кимовский район на 2018-2025 годы»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21</w:t>
            </w:r>
            <w:r w:rsidRPr="00C7144A">
              <w:rPr>
                <w:rFonts w:ascii="Arial" w:hAnsi="Arial" w:cs="Arial"/>
                <w:sz w:val="24"/>
                <w:szCs w:val="24"/>
              </w:rPr>
              <w:t xml:space="preserve"> - 2025 годы,</w:t>
            </w:r>
            <w:r w:rsidR="00F54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E719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7</w:t>
            </w:r>
            <w:r w:rsidR="007746C5" w:rsidRPr="00C7144A">
              <w:rPr>
                <w:rFonts w:ascii="Arial" w:hAnsi="Arial" w:cs="Arial"/>
                <w:sz w:val="24"/>
                <w:szCs w:val="24"/>
              </w:rPr>
              <w:t>1</w:t>
            </w:r>
            <w:r w:rsidRPr="00C7144A">
              <w:rPr>
                <w:rFonts w:ascii="Arial" w:hAnsi="Arial" w:cs="Arial"/>
                <w:sz w:val="24"/>
                <w:szCs w:val="24"/>
              </w:rPr>
              <w:t> 044,793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26120" w:rsidRPr="00C7144A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19 318,743</w:t>
            </w:r>
          </w:p>
          <w:p w:rsidR="00FD1992" w:rsidRPr="00C7144A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14 319,978</w:t>
            </w:r>
          </w:p>
          <w:p w:rsidR="00FD1992" w:rsidRPr="00C7144A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12 478,810</w:t>
            </w:r>
          </w:p>
          <w:p w:rsidR="00FD1992" w:rsidRPr="00C7144A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12 463,631</w:t>
            </w:r>
          </w:p>
          <w:p w:rsidR="00F710F7" w:rsidRPr="00C7144A" w:rsidRDefault="00FD1992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12 463,631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F" w:rsidRPr="00C7144A" w:rsidRDefault="00E719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7 813,995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26120" w:rsidRPr="00C7144A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3 089,665</w:t>
            </w:r>
          </w:p>
          <w:p w:rsidR="00926120" w:rsidRPr="00C7144A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1 327,011</w:t>
            </w:r>
          </w:p>
          <w:p w:rsidR="00926120" w:rsidRPr="00C7144A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1 133,497</w:t>
            </w:r>
          </w:p>
          <w:p w:rsidR="00926120" w:rsidRPr="00C7144A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1 131,911</w:t>
            </w:r>
          </w:p>
          <w:p w:rsidR="00F710F7" w:rsidRPr="00C7144A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1 131,911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E719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56 110,311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D1992" w:rsidRPr="00C7144A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15 108,591</w:t>
            </w:r>
            <w:r w:rsidR="00F710F7" w:rsidRPr="00C7144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FD1992" w:rsidRPr="00C7144A">
              <w:rPr>
                <w:rFonts w:ascii="Arial" w:hAnsi="Arial" w:cs="Arial"/>
                <w:sz w:val="24"/>
                <w:szCs w:val="24"/>
              </w:rPr>
              <w:t>11 492,967</w:t>
            </w:r>
          </w:p>
          <w:p w:rsidR="00FD1992" w:rsidRPr="00C7144A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9 845,313</w:t>
            </w:r>
          </w:p>
          <w:p w:rsidR="00FD1992" w:rsidRPr="00C7144A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9 831,720</w:t>
            </w:r>
          </w:p>
          <w:p w:rsidR="00F710F7" w:rsidRPr="00C7144A" w:rsidRDefault="00FD1992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9 831,720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F" w:rsidRPr="00C7144A" w:rsidRDefault="00E719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7 120,487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7E0EFA" w:rsidRPr="00C7144A" w:rsidRDefault="007E0EFA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926120" w:rsidRPr="00C7144A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1 120,487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1 500,000 1 500,000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1 500,000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C7144A" w:rsidTr="00F54191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9069E" w:rsidP="00F47F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.1. Предоставление субсидий на реализацию мероприятий по обеспечению жильем молодых семей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21</w:t>
            </w:r>
            <w:r w:rsidRPr="00C7144A">
              <w:rPr>
                <w:rFonts w:ascii="Arial" w:hAnsi="Arial" w:cs="Arial"/>
                <w:sz w:val="24"/>
                <w:szCs w:val="24"/>
              </w:rPr>
              <w:t>-2025 годы,</w:t>
            </w:r>
            <w:r w:rsidR="00F54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437B1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70 51</w:t>
            </w:r>
            <w:r w:rsidR="00FD1992" w:rsidRPr="00C7144A">
              <w:rPr>
                <w:rFonts w:ascii="Arial" w:hAnsi="Arial" w:cs="Arial"/>
                <w:sz w:val="24"/>
                <w:szCs w:val="24"/>
              </w:rPr>
              <w:t>6</w:t>
            </w:r>
            <w:r w:rsidRPr="00C7144A">
              <w:rPr>
                <w:rFonts w:ascii="Arial" w:hAnsi="Arial" w:cs="Arial"/>
                <w:sz w:val="24"/>
                <w:szCs w:val="24"/>
              </w:rPr>
              <w:t>,993</w:t>
            </w: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B5BB4" w:rsidRPr="00C7144A" w:rsidRDefault="008B5BB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710F7" w:rsidRPr="00C7144A" w:rsidRDefault="007E0EFA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</w:t>
            </w:r>
            <w:r w:rsidR="00ED2A66" w:rsidRPr="00C7144A">
              <w:rPr>
                <w:rFonts w:ascii="Arial" w:hAnsi="Arial" w:cs="Arial"/>
                <w:sz w:val="24"/>
                <w:szCs w:val="24"/>
              </w:rPr>
              <w:t>9</w:t>
            </w:r>
            <w:r w:rsidR="0034027C" w:rsidRPr="00C71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A66" w:rsidRPr="00C7144A">
              <w:rPr>
                <w:rFonts w:ascii="Arial" w:hAnsi="Arial" w:cs="Arial"/>
                <w:sz w:val="24"/>
                <w:szCs w:val="24"/>
              </w:rPr>
              <w:t>318,743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14 </w:t>
            </w:r>
            <w:r w:rsidR="00073FD1" w:rsidRPr="00C7144A">
              <w:rPr>
                <w:rFonts w:ascii="Arial" w:hAnsi="Arial" w:cs="Arial"/>
                <w:sz w:val="24"/>
                <w:szCs w:val="24"/>
              </w:rPr>
              <w:t>188</w:t>
            </w:r>
            <w:r w:rsidRPr="00C7144A">
              <w:rPr>
                <w:rFonts w:ascii="Arial" w:hAnsi="Arial" w:cs="Arial"/>
                <w:sz w:val="24"/>
                <w:szCs w:val="24"/>
              </w:rPr>
              <w:t>,0</w:t>
            </w:r>
            <w:r w:rsidR="00073FD1" w:rsidRPr="00C7144A">
              <w:rPr>
                <w:rFonts w:ascii="Arial" w:hAnsi="Arial" w:cs="Arial"/>
                <w:sz w:val="24"/>
                <w:szCs w:val="24"/>
              </w:rPr>
              <w:t>2</w:t>
            </w:r>
            <w:r w:rsidR="00A437B1" w:rsidRPr="00C7144A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</w:t>
            </w:r>
            <w:r w:rsidR="007B69F2" w:rsidRPr="00C7144A">
              <w:rPr>
                <w:rFonts w:ascii="Arial" w:hAnsi="Arial" w:cs="Arial"/>
                <w:sz w:val="24"/>
                <w:szCs w:val="24"/>
              </w:rPr>
              <w:t>2</w:t>
            </w:r>
            <w:r w:rsidRPr="00C7144A">
              <w:rPr>
                <w:rFonts w:ascii="Arial" w:hAnsi="Arial" w:cs="Arial"/>
                <w:sz w:val="24"/>
                <w:szCs w:val="24"/>
              </w:rPr>
              <w:t> </w:t>
            </w:r>
            <w:r w:rsidR="007B69F2" w:rsidRPr="00C7144A">
              <w:rPr>
                <w:rFonts w:ascii="Arial" w:hAnsi="Arial" w:cs="Arial"/>
                <w:sz w:val="24"/>
                <w:szCs w:val="24"/>
              </w:rPr>
              <w:t>346</w:t>
            </w:r>
            <w:r w:rsidRPr="00C7144A">
              <w:rPr>
                <w:rFonts w:ascii="Arial" w:hAnsi="Arial" w:cs="Arial"/>
                <w:sz w:val="24"/>
                <w:szCs w:val="24"/>
              </w:rPr>
              <w:t>,</w:t>
            </w:r>
            <w:r w:rsidR="007B69F2" w:rsidRPr="00C7144A">
              <w:rPr>
                <w:rFonts w:ascii="Arial" w:hAnsi="Arial" w:cs="Arial"/>
                <w:sz w:val="24"/>
                <w:szCs w:val="24"/>
              </w:rPr>
              <w:t>86</w:t>
            </w: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10F7" w:rsidRPr="00C7144A" w:rsidRDefault="00492956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12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 </w:t>
            </w:r>
            <w:r w:rsidRPr="00C7144A">
              <w:rPr>
                <w:rFonts w:ascii="Arial" w:hAnsi="Arial" w:cs="Arial"/>
                <w:sz w:val="24"/>
                <w:szCs w:val="24"/>
              </w:rPr>
              <w:t>331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,</w:t>
            </w:r>
            <w:r w:rsidRPr="00C7144A">
              <w:rPr>
                <w:rFonts w:ascii="Arial" w:hAnsi="Arial" w:cs="Arial"/>
                <w:sz w:val="24"/>
                <w:szCs w:val="24"/>
              </w:rPr>
              <w:t>681</w:t>
            </w:r>
          </w:p>
          <w:p w:rsidR="00F710F7" w:rsidRPr="00C7144A" w:rsidRDefault="00492956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12 331,681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437B1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7 813,995</w:t>
            </w: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5BB4" w:rsidRPr="00C7144A" w:rsidRDefault="008B5BB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C7144A" w:rsidRDefault="00614F19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3 089,665</w:t>
            </w:r>
          </w:p>
          <w:p w:rsidR="00F710F7" w:rsidRPr="00C7144A" w:rsidRDefault="00674D03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1 327,011</w:t>
            </w:r>
          </w:p>
          <w:p w:rsidR="00F710F7" w:rsidRPr="00C7144A" w:rsidRDefault="00400AFC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1 133,497</w:t>
            </w:r>
          </w:p>
          <w:p w:rsidR="00F710F7" w:rsidRPr="00C7144A" w:rsidRDefault="00B96EE6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1 131,911</w:t>
            </w:r>
          </w:p>
          <w:p w:rsidR="00A93E6D" w:rsidRPr="00C7144A" w:rsidRDefault="00A93E6D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1 131,911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437B1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55 582,511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5BB4" w:rsidRPr="00C7144A" w:rsidRDefault="008B5BB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C7144A" w:rsidRDefault="00614F19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15 108,591</w:t>
            </w:r>
          </w:p>
          <w:p w:rsidR="00F710F7" w:rsidRPr="00C7144A" w:rsidRDefault="00674D03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11 361,017</w:t>
            </w:r>
          </w:p>
          <w:p w:rsidR="00F710F7" w:rsidRPr="00C7144A" w:rsidRDefault="00400AFC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9 713,363</w:t>
            </w:r>
          </w:p>
          <w:p w:rsidR="00F710F7" w:rsidRPr="00C7144A" w:rsidRDefault="00B96EE6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9 699,770</w:t>
            </w:r>
          </w:p>
          <w:p w:rsidR="00F710F7" w:rsidRPr="00C7144A" w:rsidRDefault="00A93E6D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9 699,770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9A56AB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7 120,487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C7144A" w:rsidRDefault="00614F19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</w:t>
            </w:r>
            <w:r w:rsidR="002410CD" w:rsidRPr="00C7144A">
              <w:rPr>
                <w:rFonts w:ascii="Arial" w:hAnsi="Arial" w:cs="Arial"/>
                <w:sz w:val="24"/>
                <w:szCs w:val="24"/>
              </w:rPr>
              <w:t> </w:t>
            </w:r>
            <w:r w:rsidRPr="00C7144A">
              <w:rPr>
                <w:rFonts w:ascii="Arial" w:hAnsi="Arial" w:cs="Arial"/>
                <w:sz w:val="24"/>
                <w:szCs w:val="24"/>
              </w:rPr>
              <w:t>120</w:t>
            </w:r>
            <w:r w:rsidR="002410CD" w:rsidRPr="00C7144A">
              <w:rPr>
                <w:rFonts w:ascii="Arial" w:hAnsi="Arial" w:cs="Arial"/>
                <w:sz w:val="24"/>
                <w:szCs w:val="24"/>
              </w:rPr>
              <w:t>,487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1 500,000 1 500,000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1 500,000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C7144A" w:rsidTr="00F54191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9069E" w:rsidP="00F47F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 xml:space="preserve">.2. Предоставление средств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21</w:t>
            </w:r>
            <w:r w:rsidRPr="00C7144A">
              <w:rPr>
                <w:rFonts w:ascii="Arial" w:hAnsi="Arial" w:cs="Arial"/>
                <w:sz w:val="24"/>
                <w:szCs w:val="24"/>
              </w:rPr>
              <w:t>-2025 годы,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602F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527</w:t>
            </w:r>
            <w:r w:rsidR="008B5BB4" w:rsidRPr="00C7144A">
              <w:rPr>
                <w:rFonts w:ascii="Arial" w:hAnsi="Arial" w:cs="Arial"/>
                <w:sz w:val="24"/>
                <w:szCs w:val="24"/>
              </w:rPr>
              <w:t>,</w:t>
            </w:r>
            <w:r w:rsidRPr="00C7144A">
              <w:rPr>
                <w:rFonts w:ascii="Arial" w:hAnsi="Arial" w:cs="Arial"/>
                <w:sz w:val="24"/>
                <w:szCs w:val="24"/>
              </w:rPr>
              <w:t>80</w:t>
            </w:r>
            <w:r w:rsidR="008B5BB4"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C7144A" w:rsidRDefault="00602F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131,950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602F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527,800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C7144A" w:rsidRDefault="00602F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131,950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</w:tbl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sz w:val="24"/>
          <w:szCs w:val="24"/>
        </w:rPr>
        <w:sectPr w:rsidR="00F710F7" w:rsidRPr="00C7144A" w:rsidSect="00F54191">
          <w:pgSz w:w="16838" w:h="11906" w:orient="landscape"/>
          <w:pgMar w:top="1424" w:right="1134" w:bottom="709" w:left="1134" w:header="709" w:footer="709" w:gutter="0"/>
          <w:cols w:space="708"/>
          <w:docGrid w:linePitch="360"/>
        </w:sectPr>
      </w:pPr>
    </w:p>
    <w:p w:rsidR="00F710F7" w:rsidRPr="00C7144A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>Управление реализацией подпрограммы</w:t>
      </w:r>
      <w:r w:rsidR="00FB38C4" w:rsidRPr="00C7144A">
        <w:rPr>
          <w:rFonts w:ascii="Arial" w:hAnsi="Arial" w:cs="Arial"/>
          <w:b/>
          <w:sz w:val="24"/>
          <w:szCs w:val="24"/>
        </w:rPr>
        <w:t xml:space="preserve"> </w:t>
      </w:r>
      <w:r w:rsidRPr="00C7144A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C7144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C7144A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F710F7" w:rsidRPr="00C7144A" w:rsidRDefault="00F710F7" w:rsidP="00F47F1C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Arial" w:hAnsi="Arial" w:cs="Arial"/>
          <w:b/>
          <w:sz w:val="24"/>
          <w:szCs w:val="24"/>
        </w:rPr>
      </w:pPr>
    </w:p>
    <w:p w:rsidR="00F710F7" w:rsidRPr="00C7144A" w:rsidRDefault="00D9154F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>Реализация подпрограммы</w:t>
      </w:r>
      <w:r w:rsidR="00F710F7" w:rsidRPr="00C7144A">
        <w:rPr>
          <w:rFonts w:ascii="Arial" w:hAnsi="Arial" w:cs="Arial"/>
          <w:sz w:val="24"/>
          <w:szCs w:val="24"/>
        </w:rPr>
        <w:t xml:space="preserve"> осуществляется в рамках мероприятия «Обеспечение жильем молодых семей» государственной </w:t>
      </w:r>
      <w:hyperlink r:id="rId10" w:history="1">
        <w:r w:rsidR="00F710F7" w:rsidRPr="00C7144A">
          <w:rPr>
            <w:rFonts w:ascii="Arial" w:hAnsi="Arial" w:cs="Arial"/>
            <w:sz w:val="24"/>
            <w:szCs w:val="24"/>
          </w:rPr>
          <w:t>программы</w:t>
        </w:r>
      </w:hyperlink>
      <w:r w:rsidR="00F710F7" w:rsidRPr="00C7144A">
        <w:rPr>
          <w:rFonts w:ascii="Arial" w:hAnsi="Arial" w:cs="Arial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="0036673F" w:rsidRPr="00C7144A">
        <w:rPr>
          <w:rFonts w:ascii="Arial" w:hAnsi="Arial" w:cs="Arial"/>
          <w:sz w:val="24"/>
          <w:szCs w:val="24"/>
        </w:rPr>
        <w:t xml:space="preserve"> и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 декабря 2018 г. №598.</w:t>
      </w:r>
      <w:proofErr w:type="gramEnd"/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Механизм реализации </w:t>
      </w:r>
      <w:r w:rsidR="00D4538C" w:rsidRPr="00C7144A">
        <w:rPr>
          <w:rFonts w:ascii="Arial" w:hAnsi="Arial" w:cs="Arial"/>
          <w:sz w:val="24"/>
          <w:szCs w:val="24"/>
        </w:rPr>
        <w:t>подпрограммы</w:t>
      </w:r>
      <w:r w:rsidRPr="00C7144A">
        <w:rPr>
          <w:rFonts w:ascii="Arial" w:hAnsi="Arial" w:cs="Arial"/>
          <w:sz w:val="24"/>
          <w:szCs w:val="24"/>
        </w:rPr>
        <w:t xml:space="preserve"> предполагает оказание государственной поддержки молодым семьям – участникам </w:t>
      </w:r>
      <w:r w:rsidR="00D4538C" w:rsidRPr="00C7144A">
        <w:rPr>
          <w:rFonts w:ascii="Arial" w:hAnsi="Arial" w:cs="Arial"/>
          <w:sz w:val="24"/>
          <w:szCs w:val="24"/>
        </w:rPr>
        <w:t>подпрограммы</w:t>
      </w:r>
      <w:r w:rsidRPr="00C7144A">
        <w:rPr>
          <w:rFonts w:ascii="Arial" w:hAnsi="Arial" w:cs="Arial"/>
          <w:sz w:val="24"/>
          <w:szCs w:val="24"/>
        </w:rPr>
        <w:t xml:space="preserve"> в улучшении жилищных условий путем: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 xml:space="preserve">1) предоставления им социальных выплат на приобретение жилого помещения или создание объекта индивидуального жилищного строительства (далее соответственно – жилой дом, социальная выплата), которая предоставляется и используется в соответствии с мероприятием «Обеспечение жильем молодых семей» государственной </w:t>
      </w:r>
      <w:hyperlink r:id="rId11" w:history="1">
        <w:r w:rsidRPr="00C7144A">
          <w:rPr>
            <w:rFonts w:ascii="Arial" w:hAnsi="Arial" w:cs="Arial"/>
            <w:sz w:val="24"/>
            <w:szCs w:val="24"/>
          </w:rPr>
          <w:t>программы</w:t>
        </w:r>
      </w:hyperlink>
      <w:r w:rsidRPr="00C7144A">
        <w:rPr>
          <w:rFonts w:ascii="Arial" w:hAnsi="Arial" w:cs="Arial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1710;</w:t>
      </w:r>
      <w:proofErr w:type="gramEnd"/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 xml:space="preserve">б) предоставления им дополнительной социальной выплаты за счет средств бюджета Тульской области в размере 5 процентов средней стоимости стандартного жилья при рождении (усыновлении) одного ребенка для погашения части кредита или займа, предоставленного на приобретение или строительство стандартного жилья, в том числе ипотечного жилищного кредита, либо собственных средств молодой семьи, затраченных на приобретение стандартного жилья или строительство индивидуального стандартного жилья. </w:t>
      </w:r>
      <w:proofErr w:type="gramEnd"/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Предоставление указанной дополнительной социальной выплаты производится в соответствии с Порядком предоставления иных межбюджетных трансфертов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 (приложение № 4 к настоящей государственной программе).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Par299"/>
      <w:bookmarkEnd w:id="1"/>
      <w:proofErr w:type="gramStart"/>
      <w:r w:rsidRPr="00C7144A">
        <w:rPr>
          <w:rFonts w:ascii="Arial" w:hAnsi="Arial" w:cs="Arial"/>
          <w:sz w:val="24"/>
          <w:szCs w:val="24"/>
        </w:rPr>
        <w:t>Участником мероприятия может быть молодая семья, постоянно проживающая на территории Кимовского района,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– молодая семья):</w:t>
      </w:r>
      <w:proofErr w:type="gramEnd"/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1) возраст каждого из супругов либо одного родителя в неполной семье на день принятия министерством молодежной политики Тульской области решения о включении молодой семьи – участницы мероприятия в список молодых семей – претендентов на получение социальных выплат в соответствующем году не превышает 35 лет;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2) молодая семья признана нуждающейся в жилом помещении в соответствии с пунктом 4 настоящего раздела;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lastRenderedPageBreak/>
        <w:t xml:space="preserve">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12" w:history="1">
        <w:r w:rsidRPr="00C7144A">
          <w:rPr>
            <w:rFonts w:ascii="Arial" w:hAnsi="Arial" w:cs="Arial"/>
            <w:sz w:val="24"/>
            <w:szCs w:val="24"/>
          </w:rPr>
          <w:t>статьей 51</w:t>
        </w:r>
      </w:hyperlink>
      <w:r w:rsidRPr="00C7144A">
        <w:rPr>
          <w:rFonts w:ascii="Arial" w:hAnsi="Arial" w:cs="Arial"/>
          <w:sz w:val="24"/>
          <w:szCs w:val="24"/>
        </w:rPr>
        <w:t xml:space="preserve"> Жилищного кодекса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Российской Федерации для признания граждан </w:t>
      </w:r>
      <w:proofErr w:type="gramStart"/>
      <w:r w:rsidRPr="00C7144A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Органы местного самоуправления руководствуются </w:t>
      </w:r>
      <w:hyperlink r:id="rId13" w:history="1">
        <w:r w:rsidRPr="00C7144A">
          <w:rPr>
            <w:rFonts w:ascii="Arial" w:hAnsi="Arial" w:cs="Arial"/>
            <w:sz w:val="24"/>
            <w:szCs w:val="24"/>
          </w:rPr>
          <w:t>статьей 53</w:t>
        </w:r>
      </w:hyperlink>
      <w:r w:rsidRPr="00C7144A">
        <w:rPr>
          <w:rFonts w:ascii="Arial" w:hAnsi="Arial" w:cs="Arial"/>
          <w:sz w:val="24"/>
          <w:szCs w:val="24"/>
        </w:rPr>
        <w:t xml:space="preserve"> Жилищного кодекса Российской Федерации для признания молодых семей </w:t>
      </w:r>
      <w:proofErr w:type="gramStart"/>
      <w:r w:rsidRPr="00C7144A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в жилых помещениях. При этом молодые семьи, супруги в которой зарегистрированы по одному адресу менее 5 лет, имеют право участвовать в мероприятии с учетом требований </w:t>
      </w:r>
      <w:hyperlink w:anchor="Par299" w:history="1">
        <w:r w:rsidRPr="00C7144A">
          <w:rPr>
            <w:rFonts w:ascii="Arial" w:hAnsi="Arial" w:cs="Arial"/>
            <w:sz w:val="24"/>
            <w:szCs w:val="24"/>
          </w:rPr>
          <w:t xml:space="preserve">пункта 3 подраздела </w:t>
        </w:r>
      </w:hyperlink>
      <w:r w:rsidRPr="00C7144A">
        <w:rPr>
          <w:rFonts w:ascii="Arial" w:hAnsi="Arial" w:cs="Arial"/>
          <w:sz w:val="24"/>
          <w:szCs w:val="24"/>
        </w:rPr>
        <w:t>5.1.3.2.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>Для определения уровня доходов молодой семьи, необходимого для участия в мероприятии, орган местного самоуправления применяют Положение о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утвержденное постановлением администрации Тульской области от 12.10.2006 № 507.</w:t>
      </w:r>
      <w:proofErr w:type="gramEnd"/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Право выбора участия в данном мероприятии либо в другом мероприятии, предусматривающем оказание государственной поддержки в улучшении жилищных условий за счет средств бюджета Тульской области, принадлежит молодой семье.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Право на улучшение жилищных условий с использованием социальной выплаты за счет средств бюджета Тульской области предоставляется молодой семье только один раз.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Доля средств федерального бюджета в соответствии с показателем уровня бюджетной обеспеченности Тульской области рассчитывается ежегодно в соответствии с условиями реализации мероприятия.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Администрация муниципального образования Кимовский район предоставляет до 50 процентов от начисленных социальных выплат. Уровень софинансирования для каждого муниципального образования Тульской области </w:t>
      </w:r>
      <w:proofErr w:type="gramStart"/>
      <w:r w:rsidRPr="00C7144A">
        <w:rPr>
          <w:rFonts w:ascii="Arial" w:hAnsi="Arial" w:cs="Arial"/>
          <w:sz w:val="24"/>
          <w:szCs w:val="24"/>
        </w:rPr>
        <w:t>определяется министерством финансов Тульской области ежегодно согласно уровню бюджетной обеспеченности каждого муниципального образования Тульской области и доводится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до министерства строительства и жилищно-коммунального хозяйства Тульской области. Администрация муниципального образования Кимовский район, </w:t>
      </w:r>
      <w:proofErr w:type="gramStart"/>
      <w:r w:rsidRPr="00C7144A">
        <w:rPr>
          <w:rFonts w:ascii="Arial" w:hAnsi="Arial" w:cs="Arial"/>
          <w:sz w:val="24"/>
          <w:szCs w:val="24"/>
        </w:rPr>
        <w:t>осуществляющая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выдачу свидетельств, информирует молодые семьи, принимающие решение об участии в мероприятии, об условиях его реализации, а указанные молодые семьи дают письменное согласие на участие в нем на условиях, установленных нормативными правовыми актами Российской Федерацией и Тульской области.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Администрация муниципального образования Кимовский район, </w:t>
      </w:r>
      <w:proofErr w:type="gramStart"/>
      <w:r w:rsidRPr="00C7144A">
        <w:rPr>
          <w:rFonts w:ascii="Arial" w:hAnsi="Arial" w:cs="Arial"/>
          <w:sz w:val="24"/>
          <w:szCs w:val="24"/>
        </w:rPr>
        <w:t>участвующая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в реализации мероприятия, осуществляет до 1 июня года, предшествующего планируемому, проверку представленных молодыми семьями документов, формирует списки молодых семей для участия в мероприятии в планируемом году, в порядке, установленном правительством Тульской области, и представляет их в министерство молодежной политики Тульской области. 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 xml:space="preserve">Министерство молодежной политики Тульской области на основании списков, полученных от органов местного самоуправления Тульской области, и с учетом средств, которые планируется выделить на предоставление социальных </w:t>
      </w:r>
      <w:r w:rsidRPr="00C7144A">
        <w:rPr>
          <w:rFonts w:ascii="Arial" w:hAnsi="Arial" w:cs="Arial"/>
          <w:sz w:val="24"/>
          <w:szCs w:val="24"/>
        </w:rPr>
        <w:lastRenderedPageBreak/>
        <w:t>выплат из бюджета Тульской области и местных бюджетов на соответствующий год, а при наличии средств, предусмотренных организациями, участвующими в реализации мероприятия, за исключением организаций, предоставляющих жилищные кредиты и займы, с учетом указанных средств формирует сводный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список молодых семей - участников мероприятия, изъявивших желание получить социальную выплату, в планируемом году и утверждает его.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Расчет социальной выплаты осуществляется по каждой семье с учетом средств, которые планируется выделить на предоставление социальных выплат из бюджета Тульской области и местных бюджетов на соответствующий год, в соответствии со следующей методикой.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710F7" w:rsidRPr="00C7144A" w:rsidRDefault="00833442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 xml:space="preserve">5.1.4. </w:t>
      </w:r>
      <w:r w:rsidR="00F710F7" w:rsidRPr="00C7144A">
        <w:rPr>
          <w:rFonts w:ascii="Arial" w:hAnsi="Arial" w:cs="Arial"/>
          <w:b/>
          <w:sz w:val="24"/>
          <w:szCs w:val="24"/>
        </w:rPr>
        <w:t>Методика расчета социальной выплаты молодой семье</w:t>
      </w:r>
      <w:r w:rsidR="00F710F7" w:rsidRPr="00C7144A">
        <w:rPr>
          <w:rFonts w:ascii="Arial" w:hAnsi="Arial" w:cs="Arial"/>
          <w:b/>
          <w:sz w:val="24"/>
          <w:szCs w:val="24"/>
        </w:rPr>
        <w:br/>
        <w:t>по различным уровням бюджета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Расчет осуществляется в рублях до двух знаков после запятой (до копеек) по каждой семье, включенной в сводный список молодых семей – участников мероприятия, изъявивших желание получить социальную выплату в планируемом году.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>СВ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– размер социальной выплаты, предоставляемой молодой семье;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процентов БО – процент бюджетной обеспеченности муниципального образования Тульской области, определяемый на соответствующий год министерством финансов Тульской области в соответствии с </w:t>
      </w:r>
      <w:hyperlink r:id="rId14" w:history="1">
        <w:r w:rsidRPr="00C7144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7144A">
        <w:rPr>
          <w:rFonts w:ascii="Arial" w:hAnsi="Arial" w:cs="Arial"/>
          <w:sz w:val="24"/>
          <w:szCs w:val="24"/>
        </w:rPr>
        <w:t xml:space="preserve"> правительства Тульской области от 06.02.2014 № 50 «О предоставлении и распределении субсидий из бюджета Тульской области местным бюджетам»;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>С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– субсидия, предоставляемая бюджету муниципального образования Тульской области;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ФБ – средства федерального бюджета;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РБ – средства бюджета Тульской области;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МБ – средства соответствующего бюджета муниципального образования Тульской области;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процентов РО – процент бюджетной обеспеченности Тульской области.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Рассчитывается доля субсидии, предоставляемой бюджету муниципального образования Тульской области для социальной выплаты:</w:t>
      </w:r>
      <w:r w:rsidR="005E1565" w:rsidRPr="00C7144A">
        <w:rPr>
          <w:rFonts w:ascii="Arial" w:hAnsi="Arial" w:cs="Arial"/>
          <w:sz w:val="24"/>
          <w:szCs w:val="24"/>
        </w:rPr>
        <w:t xml:space="preserve"> </w:t>
      </w:r>
      <w:r w:rsidRPr="00C7144A">
        <w:rPr>
          <w:rFonts w:ascii="Arial" w:hAnsi="Arial" w:cs="Arial"/>
          <w:sz w:val="24"/>
          <w:szCs w:val="24"/>
        </w:rPr>
        <w:t xml:space="preserve">С = </w:t>
      </w:r>
      <w:proofErr w:type="gramStart"/>
      <w:r w:rsidRPr="00C7144A">
        <w:rPr>
          <w:rFonts w:ascii="Arial" w:hAnsi="Arial" w:cs="Arial"/>
          <w:sz w:val="24"/>
          <w:szCs w:val="24"/>
        </w:rPr>
        <w:t>СВ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/ 100 x (100 – процентов БО)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Округление осуществляется по математическому принципу в пользу бюджета муниципального образования Тульской области до двух знаков после запятой в формате константы.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Рассчитывается доля муниципального бюджета для предоставления социальной выплаты:</w:t>
      </w:r>
      <w:r w:rsidR="005E1565" w:rsidRPr="00C7144A">
        <w:rPr>
          <w:rFonts w:ascii="Arial" w:hAnsi="Arial" w:cs="Arial"/>
          <w:sz w:val="24"/>
          <w:szCs w:val="24"/>
        </w:rPr>
        <w:t xml:space="preserve"> </w:t>
      </w:r>
      <w:r w:rsidRPr="00C7144A">
        <w:rPr>
          <w:rFonts w:ascii="Arial" w:hAnsi="Arial" w:cs="Arial"/>
          <w:sz w:val="24"/>
          <w:szCs w:val="24"/>
        </w:rPr>
        <w:t xml:space="preserve">МБ = </w:t>
      </w:r>
      <w:proofErr w:type="gramStart"/>
      <w:r w:rsidRPr="00C7144A">
        <w:rPr>
          <w:rFonts w:ascii="Arial" w:hAnsi="Arial" w:cs="Arial"/>
          <w:sz w:val="24"/>
          <w:szCs w:val="24"/>
        </w:rPr>
        <w:t>СВ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– С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Рассчитывается доля субсидии, предоставляемой за счет средств федерального бюджета:</w:t>
      </w:r>
      <w:r w:rsidR="005E1565" w:rsidRPr="00C7144A">
        <w:rPr>
          <w:rFonts w:ascii="Arial" w:hAnsi="Arial" w:cs="Arial"/>
          <w:sz w:val="24"/>
          <w:szCs w:val="24"/>
        </w:rPr>
        <w:t xml:space="preserve"> </w:t>
      </w:r>
      <w:r w:rsidRPr="00C7144A">
        <w:rPr>
          <w:rFonts w:ascii="Arial" w:hAnsi="Arial" w:cs="Arial"/>
          <w:sz w:val="24"/>
          <w:szCs w:val="24"/>
        </w:rPr>
        <w:t>ФБ = С / 100 x процентов РО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Округление осуществляется по математическому принципу в пользу бюджета Тульской области до двух знаков после запятой в формате константы.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Рассчитывается доля субсидии, предоставляемой за счет средств бюджета Тульской области:</w:t>
      </w:r>
      <w:r w:rsidR="005E1565" w:rsidRPr="00C7144A">
        <w:rPr>
          <w:rFonts w:ascii="Arial" w:hAnsi="Arial" w:cs="Arial"/>
          <w:sz w:val="24"/>
          <w:szCs w:val="24"/>
        </w:rPr>
        <w:t xml:space="preserve"> </w:t>
      </w:r>
      <w:r w:rsidRPr="00C7144A">
        <w:rPr>
          <w:rFonts w:ascii="Arial" w:hAnsi="Arial" w:cs="Arial"/>
          <w:sz w:val="24"/>
          <w:szCs w:val="24"/>
        </w:rPr>
        <w:t xml:space="preserve">РБ = </w:t>
      </w:r>
      <w:proofErr w:type="gramStart"/>
      <w:r w:rsidRPr="00C7144A">
        <w:rPr>
          <w:rFonts w:ascii="Arial" w:hAnsi="Arial" w:cs="Arial"/>
          <w:sz w:val="24"/>
          <w:szCs w:val="24"/>
        </w:rPr>
        <w:t>СВ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– ФБ – МБ.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 xml:space="preserve">После утверждения распределения субсидий федерального бюджета между бюджетами субъектов Российской Федерации на соответствующий </w:t>
      </w:r>
      <w:r w:rsidRPr="00C7144A">
        <w:rPr>
          <w:rFonts w:ascii="Arial" w:hAnsi="Arial" w:cs="Arial"/>
          <w:sz w:val="24"/>
          <w:szCs w:val="24"/>
        </w:rPr>
        <w:lastRenderedPageBreak/>
        <w:t>финансовый год и доведения этих сведений до органов исполнительной власти субъектов Российской Федерации министерство молодежной политики Тульской области формирует и утверждает список молодых семей – претендентов на получение социальных выплат в планируемом году (далее – список претендентов) на основании сводного списка молодых семей – участников мероприятия, изъявивших желание получить социальную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выплату в планируемом году, и распределения субсидий между муниципальными образованиями Тульской области, отобранными для реализации мероприятия с учетом следующих критериев: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1) в первую очередь в список претендентов включаются молодые семьи, поставленные на учет в качестве нуждающихся в улучшении жилищных условий до 1 марта 2005 года, а также молодые семьи, имеющие</w:t>
      </w:r>
      <w:r w:rsidRPr="00C7144A">
        <w:rPr>
          <w:rFonts w:ascii="Arial" w:hAnsi="Arial" w:cs="Arial"/>
          <w:sz w:val="24"/>
          <w:szCs w:val="24"/>
        </w:rPr>
        <w:br/>
        <w:t xml:space="preserve">3 и более детей, ставшие таковыми до 1 июня года, предшествующего </w:t>
      </w:r>
      <w:proofErr w:type="gramStart"/>
      <w:r w:rsidRPr="00C7144A">
        <w:rPr>
          <w:rFonts w:ascii="Arial" w:hAnsi="Arial" w:cs="Arial"/>
          <w:sz w:val="24"/>
          <w:szCs w:val="24"/>
        </w:rPr>
        <w:t>планируемому</w:t>
      </w:r>
      <w:proofErr w:type="gramEnd"/>
      <w:r w:rsidRPr="00C7144A">
        <w:rPr>
          <w:rFonts w:ascii="Arial" w:hAnsi="Arial" w:cs="Arial"/>
          <w:sz w:val="24"/>
          <w:szCs w:val="24"/>
        </w:rPr>
        <w:t>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2) количество молодых семей, включаемых в список претендентов, определяется хронологической последовательностью по дате заявления на участие в мероприятии;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3) список претендентов формируется по муниципальным образованиям;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4) минимальное количество молодых семей в списке претендентов по муниципальному образованию – 1.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Распределение субсидий между муниципальными образованиями Тульской области производится правительством Тульской области на основании списка претендентов на текущий год.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Субсидия бюджету муниципального образования Тульской области состоит из суммы всех частей социальных выплат молодых семей по соответствующему муниципальному образованию Тульской области, вошедших в список молодых семей – претендентов на получение социальных выплат в соответствующем году.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В целях эффективного использования бюджетных средств общий объем субсидии муниципальному образованию Тульской области может быть перераспределен в соответствующем финансовом году при внесении изменений в список молодых семей – претендентов на получение социальных выплат в соответствующем году с учетом уровня финансового обеспечения муниципального образования Тульской области, в порядке, установленном правительством Тульской области.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Размер социальной выплаты, предоставляемой молодой семье, рассчитывается органом местного самоуправления Тульской области, осуществляющим выдачу свидетельства, </w:t>
      </w:r>
      <w:proofErr w:type="gramStart"/>
      <w:r w:rsidRPr="00C7144A">
        <w:rPr>
          <w:rFonts w:ascii="Arial" w:hAnsi="Arial" w:cs="Arial"/>
          <w:sz w:val="24"/>
          <w:szCs w:val="24"/>
        </w:rPr>
        <w:t>указывается в свидетельстве и является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неизменным на весь срок его действия. Расчет размера социальной выплаты производится на дату выдачи свидетельства, указанную в бланке свидетельства.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Полученное свидетельство сдается его владельцем в банк, отобранный для участия в мероприятии, где на его имя открывается банковский счет, предназначенный для зачисления социальной выплаты. Молодая семья – владелец свидетельства заключает договор банковского счета с указанным банком.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Жилое помещение, приобретенное или построенное молодой семьей, должно находиться на территории Тульской области.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Условиями участия муниципального образования Тульской области в мероприятии являются: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1) наличие нормативного правового акта муниципального образования Тульской области, утверждающего перечень мероприятий (программу) по обеспечению жильем молодых семей;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lastRenderedPageBreak/>
        <w:t>2) предоставление обязательств муниципального образования Тульской области по финансированию мероприятий (программы) по обеспечению жильем молодых семей.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Ответственным исполнителем мероприятия является комитет жилищно-коммунального хозяйства администрации муниципального образования Кимовский район.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Текущее управление и </w:t>
      </w:r>
      <w:proofErr w:type="gramStart"/>
      <w:r w:rsidRPr="00C714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реализацией мероприятия осуществляется комитетом жилищно-коммунального хозяйства администрации муниципального образования Кимовский район.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Администрация муниципального образования Кимовский район осуществляет: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1) организацию учета молодых семей, участвующих в мероприятии;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2) доведение до сведения молодых семей условий участия в мероприятии;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3) формирование и представление в министерство молодежной политики Тульской области списка молодых семей - участников мероприятия;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4) формирование и представление в министерство строительства и жилищно-коммунального хозяйства Тульской области заявок на реализацию мероприятия на планируемый год;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5) работу по проверке соответствия молодых семей условиям участия в мероприятии; 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6) в течение 2 месяцев после получения уведомления о лимитах бюджетных ассигнований из бюджета Тульской области, предназначенных для предоставления социальных выплат, оформление свидетельств и выдачу их молодым семьям – претендентам на получение социальных выплат в соответствии со списком молодых семей – претендентов на получение социальных выплат, утвержденным министерством молодежной политики Тульской области;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7) предоставление молодым семьям социальных выплат на приобретение стандартного жилья или строительство стандартного индивидуального жилого дома;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8) проведение мониторинга реализации мероприятия на муниципальном уровне, подготовку информационно-аналитических и отчетных материалов;</w:t>
      </w:r>
    </w:p>
    <w:p w:rsidR="00F710F7" w:rsidRPr="00C7144A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9) предоставление информационно-аналитических и отчетных материалов в министерство строительства и жилищно-коммунального хозяйства Тульской области и министерство молодежной политики Тульской области по компетенции.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Учет сведений о молодых семьях, предоставленных им социальных выплатах, ведение отчетности о реализации мероприятия осуществляются в автоматизированной информационной системе «Жилье молодым».</w:t>
      </w:r>
    </w:p>
    <w:p w:rsidR="00F710F7" w:rsidRPr="00C7144A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В соответствии с федеральным законодательством информацию о получателях социальных выплат администрация муниципального образования Кимовский район передает в единую государственную информационную систему социального обеспечения (ЕГИССО).</w:t>
      </w:r>
    </w:p>
    <w:p w:rsidR="00993F7E" w:rsidRPr="00C7144A" w:rsidRDefault="00993F7E" w:rsidP="00F47F1C">
      <w:pPr>
        <w:spacing w:after="0" w:line="240" w:lineRule="auto"/>
        <w:rPr>
          <w:rFonts w:ascii="Arial" w:hAnsi="Arial" w:cs="Arial"/>
          <w:sz w:val="24"/>
          <w:szCs w:val="24"/>
        </w:rPr>
        <w:sectPr w:rsidR="00993F7E" w:rsidRPr="00C7144A" w:rsidSect="005E1565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0740B5" w:rsidRPr="00C7144A" w:rsidRDefault="000740B5" w:rsidP="00F47F1C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>Подпрограмма «</w:t>
      </w:r>
      <w:r w:rsidR="00F8052D" w:rsidRPr="00C7144A">
        <w:rPr>
          <w:rFonts w:ascii="Arial" w:hAnsi="Arial" w:cs="Arial"/>
          <w:b/>
          <w:sz w:val="24"/>
          <w:szCs w:val="24"/>
        </w:rPr>
        <w:t>Развитие жилищного строительства на территории муниципального образования Кимовский район на 2018-2021 годы</w:t>
      </w:r>
      <w:r w:rsidRPr="00C7144A">
        <w:rPr>
          <w:rFonts w:ascii="Arial" w:hAnsi="Arial" w:cs="Arial"/>
          <w:b/>
          <w:sz w:val="24"/>
          <w:szCs w:val="24"/>
        </w:rPr>
        <w:t>»</w:t>
      </w:r>
    </w:p>
    <w:p w:rsidR="000740B5" w:rsidRPr="00C7144A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740B5" w:rsidRPr="00C7144A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0740B5" w:rsidRPr="00C7144A" w:rsidTr="00071C0F">
        <w:tc>
          <w:tcPr>
            <w:tcW w:w="2802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C7144A" w:rsidRDefault="00A11252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Развитие жилищного строительства на территории муниципального образования Кимовский район на 20</w:t>
            </w:r>
            <w:r w:rsidR="00AF1414" w:rsidRPr="00C7144A">
              <w:rPr>
                <w:sz w:val="24"/>
                <w:szCs w:val="24"/>
              </w:rPr>
              <w:t>21</w:t>
            </w:r>
            <w:r w:rsidRPr="00C7144A">
              <w:rPr>
                <w:sz w:val="24"/>
                <w:szCs w:val="24"/>
              </w:rPr>
              <w:t>-202</w:t>
            </w:r>
            <w:r w:rsidR="00AF1414" w:rsidRPr="00C7144A">
              <w:rPr>
                <w:sz w:val="24"/>
                <w:szCs w:val="24"/>
              </w:rPr>
              <w:t>5</w:t>
            </w:r>
            <w:r w:rsidRPr="00C7144A">
              <w:rPr>
                <w:sz w:val="24"/>
                <w:szCs w:val="24"/>
              </w:rPr>
              <w:t xml:space="preserve"> годы»</w:t>
            </w:r>
          </w:p>
        </w:tc>
      </w:tr>
      <w:tr w:rsidR="000740B5" w:rsidRPr="00C7144A" w:rsidTr="00071C0F">
        <w:tc>
          <w:tcPr>
            <w:tcW w:w="2802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C7144A" w:rsidRDefault="00BF1684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0740B5" w:rsidRPr="00C7144A" w:rsidTr="00071C0F">
        <w:tc>
          <w:tcPr>
            <w:tcW w:w="2802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</w:t>
            </w:r>
          </w:p>
        </w:tc>
      </w:tr>
      <w:tr w:rsidR="000740B5" w:rsidRPr="00C7144A" w:rsidTr="00071C0F">
        <w:tc>
          <w:tcPr>
            <w:tcW w:w="2802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1. 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      </w:r>
          </w:p>
        </w:tc>
      </w:tr>
      <w:tr w:rsidR="000740B5" w:rsidRPr="00C7144A" w:rsidTr="00071C0F">
        <w:tc>
          <w:tcPr>
            <w:tcW w:w="2802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C7144A" w:rsidRDefault="00FB54FF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1. </w:t>
            </w:r>
            <w:r w:rsidR="000740B5" w:rsidRPr="00C7144A">
              <w:rPr>
                <w:sz w:val="24"/>
                <w:szCs w:val="24"/>
              </w:rPr>
              <w:t>Объем жилищного строительства (ввод в действие жилых домов), тыс. кв. м.</w:t>
            </w:r>
          </w:p>
          <w:p w:rsidR="000740B5" w:rsidRPr="00C7144A" w:rsidRDefault="00FB54FF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2. </w:t>
            </w:r>
            <w:r w:rsidR="000740B5" w:rsidRPr="00C7144A">
              <w:rPr>
                <w:sz w:val="24"/>
                <w:szCs w:val="24"/>
              </w:rPr>
              <w:t xml:space="preserve">Ввод жилья в рамках </w:t>
            </w:r>
            <w:r w:rsidR="000103B0" w:rsidRPr="00C7144A">
              <w:rPr>
                <w:sz w:val="24"/>
                <w:szCs w:val="24"/>
              </w:rPr>
              <w:t>подпрограммы</w:t>
            </w:r>
            <w:r w:rsidR="000740B5" w:rsidRPr="00C7144A">
              <w:rPr>
                <w:sz w:val="24"/>
                <w:szCs w:val="24"/>
              </w:rPr>
              <w:t xml:space="preserve"> по стимулированию программ развития жилищного строительства </w:t>
            </w:r>
            <w:proofErr w:type="gramStart"/>
            <w:r w:rsidR="000740B5" w:rsidRPr="00C7144A">
              <w:rPr>
                <w:sz w:val="24"/>
                <w:szCs w:val="24"/>
              </w:rPr>
              <w:t>в</w:t>
            </w:r>
            <w:proofErr w:type="gramEnd"/>
            <w:r w:rsidR="000740B5" w:rsidRPr="00C7144A">
              <w:rPr>
                <w:sz w:val="24"/>
                <w:szCs w:val="24"/>
              </w:rPr>
              <w:t xml:space="preserve"> </w:t>
            </w:r>
            <w:proofErr w:type="gramStart"/>
            <w:r w:rsidR="000740B5" w:rsidRPr="00C7144A">
              <w:rPr>
                <w:sz w:val="24"/>
                <w:szCs w:val="24"/>
              </w:rPr>
              <w:t>Кимовском</w:t>
            </w:r>
            <w:proofErr w:type="gramEnd"/>
            <w:r w:rsidR="000740B5" w:rsidRPr="00C7144A">
              <w:rPr>
                <w:sz w:val="24"/>
                <w:szCs w:val="24"/>
              </w:rPr>
              <w:t xml:space="preserve"> районе, тыс. кв. м.</w:t>
            </w:r>
          </w:p>
          <w:p w:rsidR="000740B5" w:rsidRPr="00C7144A" w:rsidRDefault="000740B5" w:rsidP="001A0C85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Ввод объектов в эксплуатацию в рамках </w:t>
            </w:r>
            <w:r w:rsidR="000103B0" w:rsidRPr="00C7144A">
              <w:rPr>
                <w:sz w:val="24"/>
                <w:szCs w:val="24"/>
              </w:rPr>
              <w:t>подпрограммы</w:t>
            </w:r>
            <w:r w:rsidRPr="00C7144A">
              <w:rPr>
                <w:sz w:val="24"/>
                <w:szCs w:val="24"/>
              </w:rPr>
              <w:t xml:space="preserve"> по развитию жилищного строительства </w:t>
            </w:r>
            <w:proofErr w:type="gramStart"/>
            <w:r w:rsidRPr="00C7144A">
              <w:rPr>
                <w:sz w:val="24"/>
                <w:szCs w:val="24"/>
              </w:rPr>
              <w:t>в</w:t>
            </w:r>
            <w:proofErr w:type="gramEnd"/>
            <w:r w:rsidRPr="00C7144A">
              <w:rPr>
                <w:sz w:val="24"/>
                <w:szCs w:val="24"/>
              </w:rPr>
              <w:t xml:space="preserve"> </w:t>
            </w:r>
            <w:proofErr w:type="gramStart"/>
            <w:r w:rsidRPr="00C7144A">
              <w:rPr>
                <w:sz w:val="24"/>
                <w:szCs w:val="24"/>
              </w:rPr>
              <w:t>Кимовском</w:t>
            </w:r>
            <w:proofErr w:type="gramEnd"/>
            <w:r w:rsidRPr="00C7144A">
              <w:rPr>
                <w:sz w:val="24"/>
                <w:szCs w:val="24"/>
              </w:rPr>
              <w:t xml:space="preserve"> районе, единиц.</w:t>
            </w:r>
          </w:p>
        </w:tc>
      </w:tr>
      <w:tr w:rsidR="000740B5" w:rsidRPr="00C7144A" w:rsidTr="00071C0F">
        <w:tc>
          <w:tcPr>
            <w:tcW w:w="2802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Подпрограмма реализуется в один этап с 20</w:t>
            </w:r>
            <w:r w:rsidR="00AF1414" w:rsidRPr="00C7144A">
              <w:rPr>
                <w:sz w:val="24"/>
                <w:szCs w:val="24"/>
              </w:rPr>
              <w:t>21</w:t>
            </w:r>
            <w:r w:rsidRPr="00C7144A">
              <w:rPr>
                <w:sz w:val="24"/>
                <w:szCs w:val="24"/>
              </w:rPr>
              <w:t xml:space="preserve"> по 202</w:t>
            </w:r>
            <w:r w:rsidR="00AF1414" w:rsidRPr="00C7144A">
              <w:rPr>
                <w:sz w:val="24"/>
                <w:szCs w:val="24"/>
              </w:rPr>
              <w:t>5</w:t>
            </w:r>
            <w:r w:rsidRPr="00C7144A">
              <w:rPr>
                <w:sz w:val="24"/>
                <w:szCs w:val="24"/>
              </w:rPr>
              <w:t xml:space="preserve"> год</w:t>
            </w:r>
          </w:p>
        </w:tc>
      </w:tr>
      <w:tr w:rsidR="000740B5" w:rsidRPr="00C7144A" w:rsidTr="00071C0F">
        <w:tc>
          <w:tcPr>
            <w:tcW w:w="2802" w:type="dxa"/>
            <w:vMerge w:val="restart"/>
            <w:shd w:val="clear" w:color="auto" w:fill="auto"/>
          </w:tcPr>
          <w:p w:rsidR="000740B5" w:rsidRPr="00C7144A" w:rsidRDefault="000740B5" w:rsidP="00F54191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Объем ресурсного обеспечения подпрограммы,</w:t>
            </w:r>
            <w:r w:rsidR="00F54191">
              <w:rPr>
                <w:sz w:val="24"/>
                <w:szCs w:val="24"/>
              </w:rPr>
              <w:t xml:space="preserve"> </w:t>
            </w:r>
            <w:r w:rsidRPr="00C7144A"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shd w:val="clear" w:color="auto" w:fill="auto"/>
          </w:tcPr>
          <w:p w:rsidR="000740B5" w:rsidRPr="00C7144A" w:rsidRDefault="000740B5" w:rsidP="00F54191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Источники финансирования/</w:t>
            </w:r>
            <w:r w:rsidR="00F54191">
              <w:rPr>
                <w:sz w:val="24"/>
                <w:szCs w:val="24"/>
              </w:rPr>
              <w:t xml:space="preserve"> </w:t>
            </w:r>
            <w:r w:rsidRPr="00C7144A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0740B5" w:rsidRPr="00C7144A" w:rsidRDefault="000740B5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внебюджетные источники</w:t>
            </w:r>
          </w:p>
        </w:tc>
      </w:tr>
      <w:tr w:rsidR="00FD1507" w:rsidRPr="00C7144A" w:rsidTr="00071C0F">
        <w:tc>
          <w:tcPr>
            <w:tcW w:w="2802" w:type="dxa"/>
            <w:vMerge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440379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C7144A" w:rsidRDefault="00440379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440379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FD1507" w:rsidRPr="00C7144A" w:rsidTr="00071C0F">
        <w:tc>
          <w:tcPr>
            <w:tcW w:w="2802" w:type="dxa"/>
            <w:vMerge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C108AF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C108AF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FD1507" w:rsidRPr="00C7144A" w:rsidTr="00071C0F">
        <w:tc>
          <w:tcPr>
            <w:tcW w:w="2802" w:type="dxa"/>
            <w:vMerge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FD1507" w:rsidRPr="00C7144A" w:rsidTr="00071C0F">
        <w:tc>
          <w:tcPr>
            <w:tcW w:w="2802" w:type="dxa"/>
            <w:vMerge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FD1507" w:rsidRPr="00C7144A" w:rsidTr="00071C0F">
        <w:tc>
          <w:tcPr>
            <w:tcW w:w="2802" w:type="dxa"/>
            <w:vMerge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C7144A" w:rsidRDefault="00FD150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FD1507" w:rsidRPr="00C7144A" w:rsidTr="00071C0F">
        <w:tc>
          <w:tcPr>
            <w:tcW w:w="2802" w:type="dxa"/>
            <w:vMerge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D1507" w:rsidRPr="00C7144A" w:rsidRDefault="00FD1507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AF1414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C7144A" w:rsidRDefault="00AF1414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C7144A" w:rsidRDefault="00AF1414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AF1414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FD1507" w:rsidRPr="00C7144A" w:rsidTr="00071C0F">
        <w:tc>
          <w:tcPr>
            <w:tcW w:w="2802" w:type="dxa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D1507" w:rsidRPr="00C7144A" w:rsidRDefault="00FD1507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1. Увеличение объема жилищного строительства (ввод в действие жилых домов) до 40,7 тыс.</w:t>
            </w:r>
            <w:r w:rsidRPr="00C7144A">
              <w:rPr>
                <w:sz w:val="24"/>
                <w:szCs w:val="24"/>
              </w:rPr>
              <w:br/>
              <w:t>кв. м в год к концу 2025 года.</w:t>
            </w:r>
          </w:p>
          <w:p w:rsidR="00FD1507" w:rsidRPr="00C7144A" w:rsidRDefault="00FD1507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2. Ввод жилья в рамках мероприятий по стимулированию программ развития жилищного строительства </w:t>
            </w:r>
            <w:proofErr w:type="gramStart"/>
            <w:r w:rsidRPr="00C7144A">
              <w:rPr>
                <w:sz w:val="24"/>
                <w:szCs w:val="24"/>
              </w:rPr>
              <w:t>в</w:t>
            </w:r>
            <w:proofErr w:type="gramEnd"/>
            <w:r w:rsidRPr="00C7144A">
              <w:rPr>
                <w:sz w:val="24"/>
                <w:szCs w:val="24"/>
              </w:rPr>
              <w:t xml:space="preserve"> </w:t>
            </w:r>
            <w:proofErr w:type="gramStart"/>
            <w:r w:rsidRPr="00C7144A">
              <w:rPr>
                <w:sz w:val="24"/>
                <w:szCs w:val="24"/>
              </w:rPr>
              <w:t>Кимовском</w:t>
            </w:r>
            <w:proofErr w:type="gramEnd"/>
            <w:r w:rsidRPr="00C7144A">
              <w:rPr>
                <w:sz w:val="24"/>
                <w:szCs w:val="24"/>
              </w:rPr>
              <w:t xml:space="preserve"> районе составит 16,7 тыс. кв. м к концу 2025 года.</w:t>
            </w:r>
          </w:p>
          <w:p w:rsidR="00FD1507" w:rsidRPr="00C7144A" w:rsidRDefault="00FD1507" w:rsidP="001A0C85">
            <w:pPr>
              <w:pStyle w:val="ConsPlusNormal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Количество построенных и введенных в эксплуатацию объектов в рамках мероприятия развитие жилищного строительства </w:t>
            </w:r>
            <w:proofErr w:type="gramStart"/>
            <w:r w:rsidRPr="00C7144A">
              <w:rPr>
                <w:sz w:val="24"/>
                <w:szCs w:val="24"/>
              </w:rPr>
              <w:t>в</w:t>
            </w:r>
            <w:proofErr w:type="gramEnd"/>
            <w:r w:rsidRPr="00C7144A">
              <w:rPr>
                <w:sz w:val="24"/>
                <w:szCs w:val="24"/>
              </w:rPr>
              <w:t xml:space="preserve"> </w:t>
            </w:r>
            <w:proofErr w:type="gramStart"/>
            <w:r w:rsidRPr="00C7144A">
              <w:rPr>
                <w:sz w:val="24"/>
                <w:szCs w:val="24"/>
              </w:rPr>
              <w:t>Кимовском</w:t>
            </w:r>
            <w:proofErr w:type="gramEnd"/>
            <w:r w:rsidRPr="00C7144A">
              <w:rPr>
                <w:sz w:val="24"/>
                <w:szCs w:val="24"/>
              </w:rPr>
              <w:t xml:space="preserve"> районе составит 2 единицы к концу 2025 года.</w:t>
            </w:r>
          </w:p>
        </w:tc>
      </w:tr>
    </w:tbl>
    <w:p w:rsidR="000740B5" w:rsidRPr="00C7144A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0740B5" w:rsidRPr="00C7144A" w:rsidSect="00F541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40B5" w:rsidRPr="00C7144A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740B5" w:rsidRPr="00C7144A" w:rsidRDefault="000740B5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Цель и задачи, ожидаемые результаты реализации подпрограммы</w:t>
      </w:r>
    </w:p>
    <w:p w:rsidR="000740B5" w:rsidRPr="00C7144A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Arial" w:hAnsi="Arial" w:cs="Arial"/>
          <w:b/>
          <w:sz w:val="24"/>
          <w:szCs w:val="24"/>
        </w:rPr>
      </w:pPr>
    </w:p>
    <w:p w:rsidR="000740B5" w:rsidRPr="00C7144A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Цель подпрограммы – создание условий для обеспечения доступности жилья для граждан, проживающих на территории Кимовского района.</w:t>
      </w:r>
    </w:p>
    <w:p w:rsidR="000740B5" w:rsidRPr="00C7144A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Достижение указанной цел</w:t>
      </w:r>
      <w:r w:rsidR="00D76A3C" w:rsidRPr="00C7144A">
        <w:rPr>
          <w:rFonts w:ascii="Arial" w:hAnsi="Arial" w:cs="Arial"/>
          <w:sz w:val="24"/>
          <w:szCs w:val="24"/>
        </w:rPr>
        <w:t>и обеспечивается за счет м</w:t>
      </w:r>
      <w:r w:rsidRPr="00C7144A">
        <w:rPr>
          <w:rFonts w:ascii="Arial" w:hAnsi="Arial" w:cs="Arial"/>
          <w:sz w:val="24"/>
          <w:szCs w:val="24"/>
        </w:rPr>
        <w:t>одернизаци</w:t>
      </w:r>
      <w:r w:rsidR="00D76A3C" w:rsidRPr="00C7144A">
        <w:rPr>
          <w:rFonts w:ascii="Arial" w:hAnsi="Arial" w:cs="Arial"/>
          <w:sz w:val="24"/>
          <w:szCs w:val="24"/>
        </w:rPr>
        <w:t>и</w:t>
      </w:r>
      <w:r w:rsidRPr="00C7144A">
        <w:rPr>
          <w:rFonts w:ascii="Arial" w:hAnsi="Arial" w:cs="Arial"/>
          <w:sz w:val="24"/>
          <w:szCs w:val="24"/>
        </w:rPr>
        <w:t xml:space="preserve">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</w:r>
    </w:p>
    <w:p w:rsidR="000740B5" w:rsidRPr="00C7144A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Ожидаемые результаты реализации подпрограммы:</w:t>
      </w:r>
    </w:p>
    <w:p w:rsidR="000740B5" w:rsidRPr="00C7144A" w:rsidRDefault="00C7144A" w:rsidP="00F47F1C">
      <w:pPr>
        <w:pStyle w:val="ConsPlusNormal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6A3C" w:rsidRPr="00C7144A">
        <w:rPr>
          <w:sz w:val="24"/>
          <w:szCs w:val="24"/>
        </w:rPr>
        <w:t xml:space="preserve">1. </w:t>
      </w:r>
      <w:r w:rsidR="000740B5" w:rsidRPr="00C7144A">
        <w:rPr>
          <w:sz w:val="24"/>
          <w:szCs w:val="24"/>
        </w:rPr>
        <w:t>Увеличение объема жилищного строительства (ввод в действие жилых домов) до 40,7 тыс. кв. м в год к концу 202</w:t>
      </w:r>
      <w:r w:rsidR="00AE6657" w:rsidRPr="00C7144A">
        <w:rPr>
          <w:sz w:val="24"/>
          <w:szCs w:val="24"/>
        </w:rPr>
        <w:t>1</w:t>
      </w:r>
      <w:r w:rsidR="000740B5" w:rsidRPr="00C7144A">
        <w:rPr>
          <w:sz w:val="24"/>
          <w:szCs w:val="24"/>
        </w:rPr>
        <w:t xml:space="preserve"> года.</w:t>
      </w:r>
    </w:p>
    <w:p w:rsidR="000740B5" w:rsidRPr="00C7144A" w:rsidRDefault="00C7144A" w:rsidP="00F47F1C">
      <w:pPr>
        <w:pStyle w:val="ConsPlusNormal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6A3C" w:rsidRPr="00C7144A">
        <w:rPr>
          <w:sz w:val="24"/>
          <w:szCs w:val="24"/>
        </w:rPr>
        <w:t xml:space="preserve">2. </w:t>
      </w:r>
      <w:r w:rsidR="000740B5" w:rsidRPr="00C7144A">
        <w:rPr>
          <w:sz w:val="24"/>
          <w:szCs w:val="24"/>
        </w:rPr>
        <w:t xml:space="preserve">Ввод жилья в рамках мероприятий по стимулированию программ развития жилищного строительства </w:t>
      </w:r>
      <w:proofErr w:type="gramStart"/>
      <w:r w:rsidR="000740B5" w:rsidRPr="00C7144A">
        <w:rPr>
          <w:sz w:val="24"/>
          <w:szCs w:val="24"/>
        </w:rPr>
        <w:t>в</w:t>
      </w:r>
      <w:proofErr w:type="gramEnd"/>
      <w:r w:rsidR="000740B5" w:rsidRPr="00C7144A">
        <w:rPr>
          <w:sz w:val="24"/>
          <w:szCs w:val="24"/>
        </w:rPr>
        <w:t xml:space="preserve"> </w:t>
      </w:r>
      <w:proofErr w:type="gramStart"/>
      <w:r w:rsidR="000740B5" w:rsidRPr="00C7144A">
        <w:rPr>
          <w:sz w:val="24"/>
          <w:szCs w:val="24"/>
        </w:rPr>
        <w:t>Кимовском</w:t>
      </w:r>
      <w:proofErr w:type="gramEnd"/>
      <w:r w:rsidR="000740B5" w:rsidRPr="00C7144A">
        <w:rPr>
          <w:sz w:val="24"/>
          <w:szCs w:val="24"/>
        </w:rPr>
        <w:t xml:space="preserve"> районе составит 16,7 тыс. кв. м к концу 202</w:t>
      </w:r>
      <w:r w:rsidR="00AE6657" w:rsidRPr="00C7144A">
        <w:rPr>
          <w:sz w:val="24"/>
          <w:szCs w:val="24"/>
        </w:rPr>
        <w:t>1</w:t>
      </w:r>
      <w:r w:rsidR="000740B5" w:rsidRPr="00C7144A">
        <w:rPr>
          <w:sz w:val="24"/>
          <w:szCs w:val="24"/>
        </w:rPr>
        <w:t xml:space="preserve"> года.</w:t>
      </w:r>
    </w:p>
    <w:p w:rsidR="000740B5" w:rsidRPr="00C7144A" w:rsidRDefault="00C7144A" w:rsidP="00F47F1C">
      <w:pPr>
        <w:pStyle w:val="ConsPlusNormal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6657" w:rsidRPr="00C7144A">
        <w:rPr>
          <w:sz w:val="24"/>
          <w:szCs w:val="24"/>
        </w:rPr>
        <w:t xml:space="preserve">3. </w:t>
      </w:r>
      <w:r w:rsidR="000740B5" w:rsidRPr="00C7144A">
        <w:rPr>
          <w:sz w:val="24"/>
          <w:szCs w:val="24"/>
        </w:rPr>
        <w:t xml:space="preserve">Количество построенных и введенных в эксплуатацию объектов в рамках мероприятия развитие жилищного строительства </w:t>
      </w:r>
      <w:proofErr w:type="gramStart"/>
      <w:r w:rsidR="000740B5" w:rsidRPr="00C7144A">
        <w:rPr>
          <w:sz w:val="24"/>
          <w:szCs w:val="24"/>
        </w:rPr>
        <w:t>в</w:t>
      </w:r>
      <w:proofErr w:type="gramEnd"/>
      <w:r w:rsidR="000740B5" w:rsidRPr="00C7144A">
        <w:rPr>
          <w:sz w:val="24"/>
          <w:szCs w:val="24"/>
        </w:rPr>
        <w:t xml:space="preserve"> </w:t>
      </w:r>
      <w:proofErr w:type="gramStart"/>
      <w:r w:rsidR="000740B5" w:rsidRPr="00C7144A">
        <w:rPr>
          <w:sz w:val="24"/>
          <w:szCs w:val="24"/>
        </w:rPr>
        <w:t>Кимовском</w:t>
      </w:r>
      <w:proofErr w:type="gramEnd"/>
      <w:r w:rsidR="000740B5" w:rsidRPr="00C7144A">
        <w:rPr>
          <w:sz w:val="24"/>
          <w:szCs w:val="24"/>
        </w:rPr>
        <w:t xml:space="preserve"> районе 2 единицы к концу 202</w:t>
      </w:r>
      <w:r w:rsidR="00AE6657" w:rsidRPr="00C7144A">
        <w:rPr>
          <w:sz w:val="24"/>
          <w:szCs w:val="24"/>
        </w:rPr>
        <w:t>1</w:t>
      </w:r>
      <w:r w:rsidR="000740B5" w:rsidRPr="00C7144A">
        <w:rPr>
          <w:sz w:val="24"/>
          <w:szCs w:val="24"/>
        </w:rPr>
        <w:t xml:space="preserve"> года.</w:t>
      </w:r>
    </w:p>
    <w:p w:rsidR="000740B5" w:rsidRPr="00C7144A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0740B5" w:rsidRPr="00C7144A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7144A">
        <w:rPr>
          <w:rFonts w:ascii="Arial" w:hAnsi="Arial" w:cs="Arial"/>
          <w:sz w:val="24"/>
          <w:szCs w:val="24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</w:t>
      </w:r>
    </w:p>
    <w:p w:rsidR="000740B5" w:rsidRPr="00C7144A" w:rsidRDefault="000740B5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>Перечень мероприятий и проектов подпрограммы</w:t>
      </w:r>
    </w:p>
    <w:p w:rsidR="000740B5" w:rsidRPr="00C7144A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4"/>
        <w:gridCol w:w="1454"/>
        <w:gridCol w:w="17"/>
        <w:gridCol w:w="939"/>
        <w:gridCol w:w="1559"/>
        <w:gridCol w:w="1417"/>
        <w:gridCol w:w="1560"/>
        <w:gridCol w:w="1417"/>
        <w:gridCol w:w="3544"/>
      </w:tblGrid>
      <w:tr w:rsidR="000740B5" w:rsidRPr="00C7144A" w:rsidTr="00F54191">
        <w:trPr>
          <w:trHeight w:val="60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54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44A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0740B5" w:rsidRPr="00C7144A" w:rsidTr="00F54191">
        <w:trPr>
          <w:trHeight w:val="6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C7144A" w:rsidRDefault="000740B5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C7144A" w:rsidRDefault="000740B5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C7144A" w:rsidRDefault="000740B5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0B5" w:rsidRPr="00C7144A" w:rsidTr="00F54191">
        <w:trPr>
          <w:trHeight w:val="48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C7144A" w:rsidRDefault="000740B5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C7144A" w:rsidRDefault="000740B5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C7144A" w:rsidRDefault="000740B5" w:rsidP="00F47F1C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="000740B5" w:rsidRPr="00C7144A">
              <w:rPr>
                <w:rFonts w:ascii="Arial" w:hAnsi="Arial" w:cs="Arial"/>
                <w:sz w:val="24"/>
                <w:szCs w:val="24"/>
              </w:rPr>
              <w:t>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B5" w:rsidRPr="00C7144A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бюджета Тульской</w:t>
            </w:r>
            <w:r w:rsidR="00F54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44A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0740B5" w:rsidRPr="00C7144A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B5" w:rsidRPr="00C7144A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0740B5" w:rsidRPr="00C7144A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B5" w:rsidRPr="00C7144A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C7144A" w:rsidRDefault="000740B5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0B5" w:rsidRPr="00C7144A" w:rsidTr="00F54191">
        <w:trPr>
          <w:tblHeader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740B5" w:rsidRPr="00C7144A" w:rsidTr="00F54191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1.</w:t>
            </w:r>
            <w:r w:rsidR="00C71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44A">
              <w:rPr>
                <w:rFonts w:ascii="Arial" w:hAnsi="Arial" w:cs="Arial"/>
                <w:sz w:val="24"/>
                <w:szCs w:val="24"/>
              </w:rPr>
              <w:t>Развитие жилищного строительства</w:t>
            </w:r>
            <w:r w:rsidR="00E4269C" w:rsidRPr="00C71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D60" w:rsidRPr="00C7144A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 Кимовский район на 2018-2021 годы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21</w:t>
            </w:r>
            <w:r w:rsidRPr="00C7144A">
              <w:rPr>
                <w:rFonts w:ascii="Arial" w:hAnsi="Arial" w:cs="Arial"/>
                <w:sz w:val="24"/>
                <w:szCs w:val="24"/>
              </w:rPr>
              <w:t>-2025 годы,</w:t>
            </w:r>
            <w:r w:rsidR="00F54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0B5" w:rsidRPr="00C7144A" w:rsidRDefault="00BD0BF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264D2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0B5" w:rsidRPr="00C7144A" w:rsidRDefault="00BD0BF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0B5" w:rsidRPr="00C7144A" w:rsidRDefault="00BD0BF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  <w:r w:rsidR="000740B5" w:rsidRPr="00C7144A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ГУКС «</w:t>
            </w:r>
            <w:proofErr w:type="spellStart"/>
            <w:r w:rsidRPr="00C7144A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C7144A">
              <w:rPr>
                <w:rFonts w:ascii="Arial" w:hAnsi="Arial" w:cs="Arial"/>
                <w:sz w:val="24"/>
                <w:szCs w:val="24"/>
              </w:rPr>
              <w:t>» (по согласованию),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  <w:tr w:rsidR="000740B5" w:rsidRPr="00C7144A" w:rsidTr="00F54191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740B5" w:rsidP="00F47F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1.1. Мероприятия по стимулированию программ развития жилищного строительства муниципального образования Кимовский район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636EC8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21</w:t>
            </w:r>
            <w:r w:rsidR="000740B5" w:rsidRPr="00C7144A">
              <w:rPr>
                <w:rFonts w:ascii="Arial" w:hAnsi="Arial" w:cs="Arial"/>
                <w:sz w:val="24"/>
                <w:szCs w:val="24"/>
              </w:rPr>
              <w:t>-2025 годы,</w:t>
            </w:r>
            <w:r w:rsidR="00F541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0B5" w:rsidRPr="00C7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0740B5" w:rsidRPr="00C7144A" w:rsidRDefault="000740B5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7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0417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  <w:r w:rsidR="005D0417" w:rsidRPr="00C7144A">
              <w:rPr>
                <w:rFonts w:ascii="Arial" w:hAnsi="Arial" w:cs="Arial"/>
                <w:sz w:val="24"/>
                <w:szCs w:val="24"/>
              </w:rPr>
              <w:t>,</w:t>
            </w: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0417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C7144A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ГУКС «</w:t>
            </w:r>
            <w:proofErr w:type="spellStart"/>
            <w:r w:rsidRPr="00C7144A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C7144A">
              <w:rPr>
                <w:rFonts w:ascii="Arial" w:hAnsi="Arial" w:cs="Arial"/>
                <w:sz w:val="24"/>
                <w:szCs w:val="24"/>
              </w:rPr>
              <w:t>» (по согласованию),</w:t>
            </w:r>
          </w:p>
          <w:p w:rsidR="000740B5" w:rsidRPr="00C7144A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</w:tbl>
    <w:p w:rsidR="000740B5" w:rsidRPr="00C7144A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740B5" w:rsidRPr="00C7144A" w:rsidRDefault="000740B5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sz w:val="24"/>
          <w:szCs w:val="24"/>
        </w:rPr>
        <w:sectPr w:rsidR="000740B5" w:rsidRPr="00C7144A" w:rsidSect="00F54191">
          <w:pgSz w:w="16838" w:h="11906" w:orient="landscape"/>
          <w:pgMar w:top="1135" w:right="1134" w:bottom="1134" w:left="1134" w:header="709" w:footer="709" w:gutter="0"/>
          <w:cols w:space="708"/>
          <w:docGrid w:linePitch="360"/>
        </w:sectPr>
      </w:pPr>
    </w:p>
    <w:p w:rsidR="000740B5" w:rsidRPr="00C7144A" w:rsidRDefault="000740B5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>Управление реализацией подпрограммы</w:t>
      </w:r>
      <w:r w:rsidR="00F54191">
        <w:rPr>
          <w:rFonts w:ascii="Arial" w:hAnsi="Arial" w:cs="Arial"/>
          <w:b/>
          <w:sz w:val="24"/>
          <w:szCs w:val="24"/>
        </w:rPr>
        <w:t xml:space="preserve"> </w:t>
      </w:r>
      <w:r w:rsidRPr="00C7144A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C7144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C7144A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0740B5" w:rsidRPr="00C7144A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3B29ED" w:rsidRPr="00C7144A" w:rsidRDefault="003B29ED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 xml:space="preserve">Реализация подпрограммы осуществляется в рамках мероприятий по стимулированию программ развития жилищного строительства муниципальных образований Тульской области в целях </w:t>
      </w:r>
      <w:proofErr w:type="spellStart"/>
      <w:r w:rsidRPr="00C7144A">
        <w:rPr>
          <w:rFonts w:ascii="Arial" w:hAnsi="Arial" w:cs="Arial"/>
          <w:sz w:val="24"/>
          <w:szCs w:val="24"/>
        </w:rPr>
        <w:t>обечпечения</w:t>
      </w:r>
      <w:proofErr w:type="spellEnd"/>
      <w:r w:rsidRPr="00C7144A">
        <w:rPr>
          <w:rFonts w:ascii="Arial" w:hAnsi="Arial" w:cs="Arial"/>
          <w:sz w:val="24"/>
          <w:szCs w:val="24"/>
        </w:rPr>
        <w:t xml:space="preserve"> территорий застройки (стандартное жилье) объектами инженерной инфраструктуры в рамках подпрограммы «Доступное жилье»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№598.</w:t>
      </w:r>
      <w:proofErr w:type="gramEnd"/>
    </w:p>
    <w:p w:rsidR="000740B5" w:rsidRPr="00C7144A" w:rsidRDefault="000740B5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Механизм реализации </w:t>
      </w:r>
      <w:r w:rsidR="0067261C" w:rsidRPr="00C7144A">
        <w:rPr>
          <w:rFonts w:ascii="Arial" w:hAnsi="Arial" w:cs="Arial"/>
          <w:sz w:val="24"/>
          <w:szCs w:val="24"/>
        </w:rPr>
        <w:t>подпрограммы</w:t>
      </w:r>
      <w:r w:rsidRPr="00C7144A">
        <w:rPr>
          <w:rFonts w:ascii="Arial" w:hAnsi="Arial" w:cs="Arial"/>
          <w:sz w:val="24"/>
          <w:szCs w:val="24"/>
        </w:rPr>
        <w:t xml:space="preserve"> предполагает обеспечение территорий жилой застройки объектами:</w:t>
      </w:r>
    </w:p>
    <w:p w:rsidR="000740B5" w:rsidRPr="00C7144A" w:rsidRDefault="000740B5" w:rsidP="00F47F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1) инженерной инфраструктуры;</w:t>
      </w:r>
    </w:p>
    <w:p w:rsidR="000740B5" w:rsidRPr="00C7144A" w:rsidRDefault="000740B5" w:rsidP="00F47F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2) транспортной и социальной инфраструктур с привлечением средств бюджета Тульской области в рамках основного мероприятия «Развитие жилищного строительства» государственной программы Тульской области «Обеспечение доступным и комфортным жильем и коммунальными услугами граждан Тульской области».</w:t>
      </w:r>
    </w:p>
    <w:p w:rsidR="000740B5" w:rsidRPr="00C7144A" w:rsidRDefault="000740B5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В целях реализации мероприятия муниципальным образованием Кимовский район </w:t>
      </w:r>
      <w:proofErr w:type="gramStart"/>
      <w:r w:rsidRPr="00C7144A">
        <w:rPr>
          <w:rFonts w:ascii="Arial" w:hAnsi="Arial" w:cs="Arial"/>
          <w:sz w:val="24"/>
          <w:szCs w:val="24"/>
        </w:rPr>
        <w:t>проводится анализ развития территорий и представляется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заявка на участие в мероприятии в министерство строительства и жилищно-коммунального хозяйства Тульской области.</w:t>
      </w:r>
    </w:p>
    <w:p w:rsidR="00F54191" w:rsidRDefault="000740B5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Министерство строительства и жилищно-коммунального хозяйства Тульской области </w:t>
      </w:r>
      <w:proofErr w:type="gramStart"/>
      <w:r w:rsidRPr="00C7144A">
        <w:rPr>
          <w:rFonts w:ascii="Arial" w:hAnsi="Arial" w:cs="Arial"/>
          <w:sz w:val="24"/>
          <w:szCs w:val="24"/>
        </w:rPr>
        <w:t>рассматривает предоставленные органами местного самоуправления муниципальных образований Тульской области заявки и принимает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решение о предоставлении или об отказе в предоставлении субсидии в соответствующем году.</w:t>
      </w:r>
      <w:r w:rsidR="00A51CD5">
        <w:rPr>
          <w:rFonts w:ascii="Arial" w:hAnsi="Arial" w:cs="Arial"/>
          <w:sz w:val="24"/>
          <w:szCs w:val="24"/>
        </w:rPr>
        <w:t xml:space="preserve"> </w:t>
      </w:r>
    </w:p>
    <w:p w:rsidR="00A51CD5" w:rsidRDefault="00A51CD5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A51CD5" w:rsidSect="00F541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344D" w:rsidRPr="00C7144A" w:rsidRDefault="00F710F7" w:rsidP="00F47F1C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>Подпрограмма «</w:t>
      </w:r>
      <w:r w:rsidR="007F344D" w:rsidRPr="00C7144A">
        <w:rPr>
          <w:rFonts w:ascii="Arial" w:hAnsi="Arial" w:cs="Arial"/>
          <w:b/>
          <w:sz w:val="24"/>
          <w:szCs w:val="24"/>
        </w:rPr>
        <w:t>Г</w:t>
      </w:r>
      <w:r w:rsidRPr="00C7144A">
        <w:rPr>
          <w:rFonts w:ascii="Arial" w:hAnsi="Arial" w:cs="Arial"/>
          <w:b/>
          <w:sz w:val="24"/>
          <w:szCs w:val="24"/>
        </w:rPr>
        <w:t>азификаци</w:t>
      </w:r>
      <w:r w:rsidR="007F344D" w:rsidRPr="00C7144A">
        <w:rPr>
          <w:rFonts w:ascii="Arial" w:hAnsi="Arial" w:cs="Arial"/>
          <w:b/>
          <w:sz w:val="24"/>
          <w:szCs w:val="24"/>
        </w:rPr>
        <w:t>я</w:t>
      </w:r>
      <w:r w:rsidRPr="00C7144A">
        <w:rPr>
          <w:rFonts w:ascii="Arial" w:hAnsi="Arial" w:cs="Arial"/>
          <w:b/>
          <w:sz w:val="24"/>
          <w:szCs w:val="24"/>
        </w:rPr>
        <w:t xml:space="preserve"> населенных пунктов</w:t>
      </w:r>
      <w:r w:rsidR="007F344D" w:rsidRPr="00C7144A">
        <w:rPr>
          <w:rFonts w:ascii="Arial" w:hAnsi="Arial" w:cs="Arial"/>
          <w:b/>
          <w:sz w:val="24"/>
          <w:szCs w:val="24"/>
        </w:rPr>
        <w:t xml:space="preserve"> </w:t>
      </w:r>
      <w:r w:rsidRPr="00C7144A">
        <w:rPr>
          <w:rFonts w:ascii="Arial" w:hAnsi="Arial" w:cs="Arial"/>
          <w:b/>
          <w:sz w:val="24"/>
          <w:szCs w:val="24"/>
        </w:rPr>
        <w:t>муниципального образования Кимовский район</w:t>
      </w:r>
      <w:r w:rsidR="007F344D" w:rsidRPr="00C7144A">
        <w:rPr>
          <w:rFonts w:ascii="Arial" w:hAnsi="Arial" w:cs="Arial"/>
          <w:b/>
          <w:sz w:val="24"/>
          <w:szCs w:val="24"/>
        </w:rPr>
        <w:t xml:space="preserve"> </w:t>
      </w:r>
    </w:p>
    <w:p w:rsidR="00F710F7" w:rsidRPr="00C7144A" w:rsidRDefault="007F344D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на 20</w:t>
      </w:r>
      <w:r w:rsidR="00AF1414" w:rsidRPr="00C7144A">
        <w:rPr>
          <w:rFonts w:ascii="Arial" w:hAnsi="Arial" w:cs="Arial"/>
          <w:b/>
          <w:sz w:val="24"/>
          <w:szCs w:val="24"/>
        </w:rPr>
        <w:t>21</w:t>
      </w:r>
      <w:r w:rsidRPr="00C7144A">
        <w:rPr>
          <w:rFonts w:ascii="Arial" w:hAnsi="Arial" w:cs="Arial"/>
          <w:b/>
          <w:sz w:val="24"/>
          <w:szCs w:val="24"/>
        </w:rPr>
        <w:t>-20</w:t>
      </w:r>
      <w:r w:rsidR="00AF1414" w:rsidRPr="00C7144A">
        <w:rPr>
          <w:rFonts w:ascii="Arial" w:hAnsi="Arial" w:cs="Arial"/>
          <w:b/>
          <w:sz w:val="24"/>
          <w:szCs w:val="24"/>
        </w:rPr>
        <w:t>25</w:t>
      </w:r>
      <w:r w:rsidRPr="00C7144A">
        <w:rPr>
          <w:rFonts w:ascii="Arial" w:hAnsi="Arial" w:cs="Arial"/>
          <w:b/>
          <w:sz w:val="24"/>
          <w:szCs w:val="24"/>
        </w:rPr>
        <w:t xml:space="preserve"> годы»</w:t>
      </w:r>
      <w:r w:rsidR="00F710F7" w:rsidRPr="00C7144A">
        <w:rPr>
          <w:rFonts w:ascii="Arial" w:hAnsi="Arial" w:cs="Arial"/>
          <w:b/>
          <w:sz w:val="24"/>
          <w:szCs w:val="24"/>
        </w:rPr>
        <w:t>»</w:t>
      </w:r>
    </w:p>
    <w:p w:rsidR="00F710F7" w:rsidRPr="00C7144A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277"/>
        <w:gridCol w:w="992"/>
        <w:gridCol w:w="1701"/>
        <w:gridCol w:w="2267"/>
        <w:gridCol w:w="1701"/>
        <w:gridCol w:w="1418"/>
      </w:tblGrid>
      <w:tr w:rsidR="00F710F7" w:rsidRPr="00C7144A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4A3C25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Газификация населенных пунктов муниципального образования Кимовский район на 20</w:t>
            </w:r>
            <w:r w:rsidR="00AF1414" w:rsidRPr="00C7144A">
              <w:rPr>
                <w:sz w:val="24"/>
                <w:szCs w:val="24"/>
                <w:lang w:eastAsia="en-US"/>
              </w:rPr>
              <w:t>21</w:t>
            </w:r>
            <w:r w:rsidRPr="00C7144A">
              <w:rPr>
                <w:sz w:val="24"/>
                <w:szCs w:val="24"/>
                <w:lang w:eastAsia="en-US"/>
              </w:rPr>
              <w:t>–20</w:t>
            </w:r>
            <w:r w:rsidR="00AF1414" w:rsidRPr="00C7144A">
              <w:rPr>
                <w:sz w:val="24"/>
                <w:szCs w:val="24"/>
                <w:lang w:eastAsia="en-US"/>
              </w:rPr>
              <w:t>25</w:t>
            </w:r>
            <w:r w:rsidRPr="00C7144A">
              <w:rPr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F710F7" w:rsidRPr="00C7144A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Отдел строительства и архитектуры, администрации муниципального образования Кимовский район</w:t>
            </w:r>
          </w:p>
        </w:tc>
      </w:tr>
      <w:tr w:rsidR="00F710F7" w:rsidRPr="00C7144A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Государственное учреждение капитального строительства «</w:t>
            </w:r>
            <w:proofErr w:type="spellStart"/>
            <w:r w:rsidRPr="00C7144A">
              <w:rPr>
                <w:sz w:val="24"/>
                <w:szCs w:val="24"/>
                <w:lang w:eastAsia="en-US"/>
              </w:rPr>
              <w:t>ТулоблУКС</w:t>
            </w:r>
            <w:proofErr w:type="spellEnd"/>
            <w:r w:rsidRPr="00C7144A">
              <w:rPr>
                <w:sz w:val="24"/>
                <w:szCs w:val="24"/>
                <w:lang w:eastAsia="en-US"/>
              </w:rPr>
              <w:t>»</w:t>
            </w:r>
            <w:r w:rsidR="00AF1414" w:rsidRPr="00C7144A">
              <w:rPr>
                <w:sz w:val="24"/>
                <w:szCs w:val="24"/>
                <w:lang w:eastAsia="en-US"/>
              </w:rPr>
              <w:t xml:space="preserve"> </w:t>
            </w:r>
            <w:r w:rsidRPr="00C7144A">
              <w:rPr>
                <w:sz w:val="24"/>
                <w:szCs w:val="24"/>
              </w:rPr>
              <w:t>(по согласованию), министерство строительства и жилищно-</w:t>
            </w:r>
            <w:proofErr w:type="spellStart"/>
            <w:r w:rsidRPr="00C7144A">
              <w:rPr>
                <w:sz w:val="24"/>
                <w:szCs w:val="24"/>
              </w:rPr>
              <w:t>комунального</w:t>
            </w:r>
            <w:proofErr w:type="spellEnd"/>
            <w:r w:rsidRPr="00C7144A">
              <w:rPr>
                <w:sz w:val="24"/>
                <w:szCs w:val="24"/>
              </w:rPr>
              <w:t xml:space="preserve"> хозяйства Тульской области (по согласованию)</w:t>
            </w:r>
          </w:p>
        </w:tc>
      </w:tr>
      <w:tr w:rsidR="00F710F7" w:rsidRPr="00C7144A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Создание условий для газификации населенных пунктов муниципального образования Кимовский район.</w:t>
            </w:r>
          </w:p>
        </w:tc>
      </w:tr>
      <w:tr w:rsidR="00F710F7" w:rsidRPr="00C7144A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1A0C85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</w:t>
            </w:r>
            <w:r w:rsidRPr="00C7144A">
              <w:rPr>
                <w:rFonts w:eastAsia="Calibri"/>
                <w:sz w:val="24"/>
                <w:szCs w:val="24"/>
              </w:rPr>
      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      </w:r>
          </w:p>
          <w:p w:rsidR="00F710F7" w:rsidRPr="00C7144A" w:rsidRDefault="00F710F7" w:rsidP="001A0C85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</w:rPr>
              <w:t>Создание условий для перевода потребителей на использование природного газа</w:t>
            </w:r>
          </w:p>
        </w:tc>
      </w:tr>
      <w:tr w:rsidR="00F710F7" w:rsidRPr="00C7144A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1A0C85">
            <w:pPr>
              <w:pStyle w:val="ConsPlusNormal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 xml:space="preserve">Протяженность построенных </w:t>
            </w:r>
            <w:proofErr w:type="spellStart"/>
            <w:r w:rsidRPr="00C7144A"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C7144A">
              <w:rPr>
                <w:sz w:val="24"/>
                <w:szCs w:val="24"/>
                <w:lang w:eastAsia="en-US"/>
              </w:rPr>
              <w:t xml:space="preserve"> распределительных газопроводов, километров.</w:t>
            </w:r>
          </w:p>
          <w:p w:rsidR="00F710F7" w:rsidRPr="00C7144A" w:rsidRDefault="00F710F7" w:rsidP="001A0C85">
            <w:pPr>
              <w:pStyle w:val="ConsPlusNormal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Количество газифицированных населенных пунктов Кимовского района, единиц</w:t>
            </w:r>
          </w:p>
        </w:tc>
      </w:tr>
      <w:tr w:rsidR="00F710F7" w:rsidRPr="00C7144A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Этапы и сроки реализации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</w:rPr>
              <w:t>Подпрограмма реализуется в один этап с 20</w:t>
            </w:r>
            <w:r w:rsidR="00AF1414" w:rsidRPr="00C7144A">
              <w:rPr>
                <w:sz w:val="24"/>
                <w:szCs w:val="24"/>
              </w:rPr>
              <w:t>21</w:t>
            </w:r>
            <w:r w:rsidRPr="00C7144A">
              <w:rPr>
                <w:sz w:val="24"/>
                <w:szCs w:val="24"/>
              </w:rPr>
              <w:t xml:space="preserve"> по 2025 год</w:t>
            </w:r>
          </w:p>
        </w:tc>
      </w:tr>
      <w:tr w:rsidR="00F710F7" w:rsidRPr="00C7144A" w:rsidTr="00A51CD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A51CD5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54191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Источники финансирования/</w:t>
            </w:r>
            <w:r w:rsidR="00F54191">
              <w:rPr>
                <w:sz w:val="24"/>
                <w:szCs w:val="24"/>
                <w:lang w:eastAsia="en-US"/>
              </w:rPr>
              <w:t xml:space="preserve"> </w:t>
            </w:r>
            <w:r w:rsidRPr="00C7144A">
              <w:rPr>
                <w:sz w:val="24"/>
                <w:szCs w:val="24"/>
                <w:lang w:eastAsia="en-US"/>
              </w:rPr>
              <w:t>годы реализации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средства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F710F7" w:rsidRPr="00C7144A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F1414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B629FD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F1414" w:rsidP="00F47F1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3150,</w:t>
            </w:r>
            <w:r w:rsidR="00F710F7"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710F7" w:rsidRPr="00C7144A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0264D2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B629FD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0264D2" w:rsidP="00F47F1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3250,0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710F7" w:rsidRPr="00C7144A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B629FD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710F7" w:rsidRPr="00C7144A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B629FD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710F7" w:rsidRPr="00C7144A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B629FD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710F7" w:rsidRPr="00C7144A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0264D2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6400</w:t>
            </w:r>
            <w:r w:rsidR="00AF1414" w:rsidRPr="00C7144A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F1414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F1414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0264D2" w:rsidP="00F47F1C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6400</w:t>
            </w:r>
            <w:r w:rsidR="00AF1414" w:rsidRPr="00C7144A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710F7" w:rsidRPr="00C7144A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1A0C85">
            <w:pPr>
              <w:pStyle w:val="ConsPlusNormal"/>
              <w:numPr>
                <w:ilvl w:val="0"/>
                <w:numId w:val="17"/>
              </w:numPr>
              <w:tabs>
                <w:tab w:val="left" w:pos="303"/>
              </w:tabs>
              <w:ind w:left="33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 xml:space="preserve">Увеличение протяженности построенных </w:t>
            </w:r>
            <w:proofErr w:type="spellStart"/>
            <w:r w:rsidRPr="00C7144A"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C7144A">
              <w:rPr>
                <w:sz w:val="24"/>
                <w:szCs w:val="24"/>
                <w:lang w:eastAsia="en-US"/>
              </w:rPr>
              <w:t xml:space="preserve"> распределительных газопроводов на 5,4 километра к концу 2025 года.</w:t>
            </w:r>
          </w:p>
          <w:p w:rsidR="00F710F7" w:rsidRPr="00C7144A" w:rsidRDefault="00F710F7" w:rsidP="001A0C85">
            <w:pPr>
              <w:pStyle w:val="ConsPlusNormal"/>
              <w:numPr>
                <w:ilvl w:val="0"/>
                <w:numId w:val="17"/>
              </w:numPr>
              <w:tabs>
                <w:tab w:val="left" w:pos="303"/>
              </w:tabs>
              <w:ind w:left="33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Увеличение газифицированных населенных пунктов Кимовского района на 2 единиц к концу 2025 года</w:t>
            </w:r>
          </w:p>
        </w:tc>
      </w:tr>
    </w:tbl>
    <w:p w:rsidR="00A51CD5" w:rsidRDefault="00F710F7" w:rsidP="00F47F1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  <w:sectPr w:rsidR="00A51CD5" w:rsidSect="00A51CD5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 w:rsidRPr="00C7144A">
        <w:rPr>
          <w:rFonts w:ascii="Arial" w:hAnsi="Arial" w:cs="Arial"/>
          <w:sz w:val="24"/>
          <w:szCs w:val="24"/>
          <w:highlight w:val="yellow"/>
        </w:rPr>
        <w:br w:type="page"/>
      </w:r>
    </w:p>
    <w:p w:rsidR="00F710F7" w:rsidRPr="00C7144A" w:rsidRDefault="00F710F7" w:rsidP="00F47F1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F710F7" w:rsidRPr="00C7144A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Цель и задачи, ожидаемые результаты реализации подпрограммы</w:t>
      </w:r>
    </w:p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pStyle w:val="ConsPlusNormal"/>
        <w:ind w:left="720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>Цель подпрограммы – создание условий для газификации населенных пунктов муниципального образования Кимовский район.</w:t>
      </w:r>
    </w:p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Достижение указанной цели обеспечивается за счет решения следующих задач подпрограммы:</w:t>
      </w:r>
    </w:p>
    <w:p w:rsidR="00F710F7" w:rsidRPr="00C7144A" w:rsidRDefault="00F710F7" w:rsidP="001A0C85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>С</w:t>
      </w:r>
      <w:r w:rsidRPr="00C7144A">
        <w:rPr>
          <w:rFonts w:eastAsia="Calibri"/>
          <w:sz w:val="24"/>
          <w:szCs w:val="24"/>
        </w:rPr>
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F710F7" w:rsidRPr="00C7144A" w:rsidRDefault="00F710F7" w:rsidP="001A0C85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>Создание условий для перевода потребителей на использование природного газа.</w:t>
      </w:r>
    </w:p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Ожидаемые результаты реализации подпрограммы:</w:t>
      </w:r>
    </w:p>
    <w:p w:rsidR="00F710F7" w:rsidRPr="00C7144A" w:rsidRDefault="00F710F7" w:rsidP="001A0C85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  <w:lang w:eastAsia="en-US"/>
        </w:rPr>
        <w:t xml:space="preserve">Увеличение протяженности построенных </w:t>
      </w:r>
      <w:proofErr w:type="spellStart"/>
      <w:r w:rsidRPr="00C7144A">
        <w:rPr>
          <w:sz w:val="24"/>
          <w:szCs w:val="24"/>
          <w:lang w:eastAsia="en-US"/>
        </w:rPr>
        <w:t>внутрипоселковых</w:t>
      </w:r>
      <w:proofErr w:type="spellEnd"/>
      <w:r w:rsidRPr="00C7144A">
        <w:rPr>
          <w:sz w:val="24"/>
          <w:szCs w:val="24"/>
          <w:lang w:eastAsia="en-US"/>
        </w:rPr>
        <w:t xml:space="preserve"> распределительных газопроводов на 5,4 километра к концу 2025 года.</w:t>
      </w:r>
    </w:p>
    <w:p w:rsidR="00F710F7" w:rsidRPr="00C7144A" w:rsidRDefault="00F710F7" w:rsidP="001A0C85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C7144A">
        <w:rPr>
          <w:sz w:val="24"/>
          <w:szCs w:val="24"/>
        </w:rPr>
        <w:t>Увеличение газифицированных населенных пунктов Кимовского района на 2 единиц к концу 2025 года.</w:t>
      </w:r>
    </w:p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программы».</w:t>
      </w:r>
    </w:p>
    <w:p w:rsidR="00A51CD5" w:rsidRDefault="00A51CD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A51CD5" w:rsidSect="00A51CD5">
          <w:pgSz w:w="11906" w:h="16838"/>
          <w:pgMar w:top="1134" w:right="567" w:bottom="1134" w:left="709" w:header="709" w:footer="709" w:gutter="0"/>
          <w:cols w:space="708"/>
          <w:docGrid w:linePitch="360"/>
        </w:sectPr>
      </w:pPr>
    </w:p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t>Перечень мероприятий и проектов подпрограммы</w:t>
      </w:r>
    </w:p>
    <w:p w:rsidR="00F710F7" w:rsidRPr="00C7144A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2"/>
        <w:gridCol w:w="10"/>
        <w:gridCol w:w="1549"/>
        <w:gridCol w:w="10"/>
        <w:gridCol w:w="1408"/>
        <w:gridCol w:w="10"/>
        <w:gridCol w:w="1479"/>
        <w:gridCol w:w="20"/>
        <w:gridCol w:w="2105"/>
        <w:gridCol w:w="20"/>
        <w:gridCol w:w="1540"/>
        <w:gridCol w:w="20"/>
        <w:gridCol w:w="1822"/>
        <w:gridCol w:w="20"/>
        <w:gridCol w:w="1803"/>
        <w:gridCol w:w="20"/>
      </w:tblGrid>
      <w:tr w:rsidR="00F710F7" w:rsidRPr="00C7144A" w:rsidTr="00A51CD5">
        <w:trPr>
          <w:trHeight w:val="60"/>
          <w:jc w:val="center"/>
        </w:trPr>
        <w:tc>
          <w:tcPr>
            <w:tcW w:w="3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8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Ответственные за выполнение</w:t>
            </w:r>
            <w:r w:rsidR="00C71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44A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</w:tr>
      <w:tr w:rsidR="00F710F7" w:rsidRPr="00C7144A" w:rsidTr="00A51CD5">
        <w:trPr>
          <w:trHeight w:val="60"/>
          <w:jc w:val="center"/>
        </w:trPr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0F7" w:rsidRPr="00C7144A" w:rsidTr="00A51CD5">
        <w:trPr>
          <w:trHeight w:val="480"/>
          <w:jc w:val="center"/>
        </w:trPr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C7144A" w:rsidRDefault="00F710F7" w:rsidP="00F47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0F7" w:rsidRPr="00C7144A" w:rsidTr="00A51CD5">
        <w:trPr>
          <w:gridAfter w:val="1"/>
          <w:wAfter w:w="20" w:type="dxa"/>
          <w:tblHeader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10F7" w:rsidRPr="00C7144A" w:rsidTr="00A51CD5">
        <w:trPr>
          <w:gridAfter w:val="1"/>
          <w:wAfter w:w="20" w:type="dxa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 xml:space="preserve">1. Мероприятие «Создание условий для строительства </w:t>
            </w:r>
            <w:proofErr w:type="spellStart"/>
            <w:r w:rsidRPr="00C7144A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C7144A">
              <w:rPr>
                <w:rFonts w:ascii="Arial" w:hAnsi="Arial" w:cs="Arial"/>
                <w:sz w:val="24"/>
                <w:szCs w:val="24"/>
              </w:rPr>
              <w:t xml:space="preserve"> распределительных сетей»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21</w:t>
            </w:r>
            <w:r w:rsidRPr="00C7144A">
              <w:rPr>
                <w:rFonts w:ascii="Arial" w:hAnsi="Arial" w:cs="Arial"/>
                <w:sz w:val="24"/>
                <w:szCs w:val="24"/>
              </w:rPr>
              <w:t>-2025 годы,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6400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C7144A" w:rsidRDefault="00A4555B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3150,000</w:t>
            </w:r>
          </w:p>
          <w:p w:rsidR="00F710F7" w:rsidRPr="00C7144A" w:rsidRDefault="000264D2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3250,00</w:t>
            </w:r>
            <w:r w:rsidR="00F710F7"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B83762" w:rsidRPr="00C7144A" w:rsidRDefault="00B83762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B83762" w:rsidRPr="00C7144A" w:rsidRDefault="00B83762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83762" w:rsidRPr="00C7144A" w:rsidRDefault="00B8376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83762" w:rsidRPr="00C7144A" w:rsidRDefault="00B8376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640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957FA0" w:rsidRPr="00C7144A" w:rsidRDefault="00957FA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414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C7144A" w:rsidRDefault="00A4555B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3150,000</w:t>
            </w:r>
          </w:p>
          <w:p w:rsidR="00F710F7" w:rsidRPr="00C7144A" w:rsidRDefault="000264D2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3250,</w:t>
            </w:r>
            <w:r w:rsidR="00F710F7" w:rsidRPr="00C7144A">
              <w:rPr>
                <w:sz w:val="24"/>
                <w:szCs w:val="24"/>
                <w:lang w:eastAsia="en-US"/>
              </w:rPr>
              <w:t>0</w:t>
            </w:r>
            <w:r w:rsidRPr="00C7144A">
              <w:rPr>
                <w:sz w:val="24"/>
                <w:szCs w:val="24"/>
                <w:lang w:eastAsia="en-US"/>
              </w:rPr>
              <w:t>00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 ГУКС «</w:t>
            </w:r>
            <w:proofErr w:type="spellStart"/>
            <w:r w:rsidRPr="00C7144A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C7144A">
              <w:rPr>
                <w:rFonts w:ascii="Arial" w:hAnsi="Arial" w:cs="Arial"/>
                <w:sz w:val="24"/>
                <w:szCs w:val="24"/>
              </w:rPr>
              <w:t>» (по согласованию), 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C7144A" w:rsidTr="00A51CD5">
        <w:trPr>
          <w:gridAfter w:val="1"/>
          <w:wAfter w:w="20" w:type="dxa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 xml:space="preserve">1.1. Предоставление субсидий бюджету муниципального образования Кимовский район на строительство </w:t>
            </w:r>
            <w:proofErr w:type="spellStart"/>
            <w:r w:rsidRPr="00C7144A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C7144A">
              <w:rPr>
                <w:rFonts w:ascii="Arial" w:hAnsi="Arial" w:cs="Arial"/>
                <w:sz w:val="24"/>
                <w:szCs w:val="24"/>
              </w:rPr>
              <w:t xml:space="preserve"> распределительных сетей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21</w:t>
            </w:r>
            <w:r w:rsidRPr="00C7144A">
              <w:rPr>
                <w:rFonts w:ascii="Arial" w:hAnsi="Arial" w:cs="Arial"/>
                <w:sz w:val="24"/>
                <w:szCs w:val="24"/>
              </w:rPr>
              <w:t>-2025 годы,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lastRenderedPageBreak/>
              <w:t>6400,00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C7144A" w:rsidRDefault="00A4555B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3150,000</w:t>
            </w:r>
          </w:p>
          <w:p w:rsidR="00F710F7" w:rsidRPr="00C7144A" w:rsidRDefault="000264D2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325</w:t>
            </w:r>
            <w:r w:rsidR="00F710F7" w:rsidRPr="00C7144A">
              <w:rPr>
                <w:sz w:val="24"/>
                <w:szCs w:val="24"/>
                <w:lang w:eastAsia="en-US"/>
              </w:rPr>
              <w:t>0</w:t>
            </w:r>
            <w:r w:rsidRPr="00C7144A">
              <w:rPr>
                <w:sz w:val="24"/>
                <w:szCs w:val="24"/>
                <w:lang w:eastAsia="en-US"/>
              </w:rPr>
              <w:t>,000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lastRenderedPageBreak/>
              <w:t>640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0,0</w:t>
            </w:r>
            <w:r w:rsidRPr="00C7144A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C7144A" w:rsidRDefault="00A4555B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3150,000</w:t>
            </w:r>
          </w:p>
          <w:p w:rsidR="00F710F7" w:rsidRPr="00C7144A" w:rsidRDefault="000264D2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3250,000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 xml:space="preserve">Отдел строительства и архитектуры администрации муниципального </w:t>
            </w:r>
            <w:r w:rsidRPr="00C7144A">
              <w:rPr>
                <w:rFonts w:ascii="Arial" w:hAnsi="Arial" w:cs="Arial"/>
                <w:sz w:val="24"/>
                <w:szCs w:val="24"/>
              </w:rPr>
              <w:lastRenderedPageBreak/>
              <w:t>образования Кимовский район, ГУКС «</w:t>
            </w:r>
            <w:proofErr w:type="spellStart"/>
            <w:r w:rsidRPr="00C7144A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C7144A">
              <w:rPr>
                <w:rFonts w:ascii="Arial" w:hAnsi="Arial" w:cs="Arial"/>
                <w:sz w:val="24"/>
                <w:szCs w:val="24"/>
              </w:rPr>
              <w:t>» (по согласованию), 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C7144A" w:rsidTr="00A51CD5">
        <w:trPr>
          <w:gridAfter w:val="1"/>
          <w:wAfter w:w="20" w:type="dxa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</w:t>
            </w:r>
            <w:r w:rsidR="00AF1414" w:rsidRPr="00C7144A">
              <w:rPr>
                <w:rFonts w:ascii="Arial" w:hAnsi="Arial" w:cs="Arial"/>
                <w:sz w:val="24"/>
                <w:szCs w:val="24"/>
              </w:rPr>
              <w:t>21</w:t>
            </w:r>
            <w:r w:rsidRPr="00C7144A">
              <w:rPr>
                <w:rFonts w:ascii="Arial" w:hAnsi="Arial" w:cs="Arial"/>
                <w:sz w:val="24"/>
                <w:szCs w:val="24"/>
              </w:rPr>
              <w:t>-2025 годы,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0264D2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6400,00</w:t>
            </w:r>
            <w:r w:rsidR="00AF1414" w:rsidRPr="00C7144A">
              <w:rPr>
                <w:sz w:val="24"/>
                <w:szCs w:val="24"/>
                <w:lang w:eastAsia="en-US"/>
              </w:rPr>
              <w:t>0</w:t>
            </w: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3150,0</w:t>
            </w:r>
            <w:r w:rsidR="000264D2" w:rsidRPr="00C7144A">
              <w:rPr>
                <w:sz w:val="24"/>
                <w:szCs w:val="24"/>
                <w:lang w:eastAsia="en-US"/>
              </w:rPr>
              <w:t>00</w:t>
            </w:r>
          </w:p>
          <w:p w:rsidR="00F710F7" w:rsidRPr="00C7144A" w:rsidRDefault="000264D2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3250,000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AF1414" w:rsidRPr="00C7144A" w:rsidRDefault="00AF1414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0" w:rsidRPr="00C7144A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6400,00</w:t>
            </w:r>
            <w:r w:rsidR="00F6362C" w:rsidRPr="00C7144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957FA0" w:rsidRPr="00C7144A" w:rsidRDefault="00F6362C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3150,0</w:t>
            </w:r>
            <w:r w:rsidR="000264D2" w:rsidRPr="00C7144A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F710F7" w:rsidRPr="00C7144A" w:rsidRDefault="000264D2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3250,00</w:t>
            </w:r>
            <w:r w:rsidR="00F710F7"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  <w:p w:rsidR="00F710F7" w:rsidRPr="00C7144A" w:rsidRDefault="00F710F7" w:rsidP="00F47F1C">
            <w:pPr>
              <w:pStyle w:val="ConsPlusNormal"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C7144A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710F7" w:rsidRPr="00C7144A" w:rsidRDefault="00F710F7" w:rsidP="00F47F1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F710F7" w:rsidRPr="00C7144A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  <w:sectPr w:rsidR="00F710F7" w:rsidRPr="00C7144A" w:rsidSect="00A51CD5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F710F7" w:rsidRPr="00C7144A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 xml:space="preserve">Управление реализацией подпрограммы и </w:t>
      </w:r>
      <w:proofErr w:type="gramStart"/>
      <w:r w:rsidRPr="00C7144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C7144A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F710F7" w:rsidRPr="00C7144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Механизм реализации подпрограммы состоит в согласованном нормативном правовом, финансовом и организационном обеспечении реализации комплекса предусматриваемых подпрограммой мероприятий на уровне органа местного самоуправления и законодательной власти Тульской области.</w:t>
      </w:r>
    </w:p>
    <w:p w:rsidR="00F710F7" w:rsidRPr="00C7144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Финансовое обеспечение реализации подпрограммы заключается в ежегодном утверждении статей расходов бюджета муниципального образования Кимовский район в соответствии с объемами финансирования, необходимыми для выполнения комплекса мероприятий по реализации подпрограммы.</w:t>
      </w:r>
    </w:p>
    <w:p w:rsidR="00F710F7" w:rsidRPr="00C7144A" w:rsidRDefault="00F710F7" w:rsidP="00F47F1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 xml:space="preserve">Средства из бюджета Тульской области местному бюджету на проведение мероприятий по строительству </w:t>
      </w:r>
      <w:proofErr w:type="spellStart"/>
      <w:r w:rsidRPr="00C7144A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C7144A">
        <w:rPr>
          <w:rFonts w:ascii="Arial" w:hAnsi="Arial" w:cs="Arial"/>
          <w:sz w:val="24"/>
          <w:szCs w:val="24"/>
        </w:rPr>
        <w:t xml:space="preserve"> распределительных газовых сетей, в том числе подводящих газопроводов к жилым домам, в соответствии с проектно-сметной документацией, врезке вновь построенных газопроводов в существующие распределительные сети газопровода, расположенные на территории муниципальных образований Тульской области, предоставляются в виде субсидий в порядке межбюджетных отношений. </w:t>
      </w:r>
      <w:proofErr w:type="gramEnd"/>
    </w:p>
    <w:p w:rsidR="00F710F7" w:rsidRPr="00C7144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Управление реализацией подпрограммы осуществляется ответственным исполнителем – отделом строительства и архитектуры администрации муниципального образования Кимовский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F710F7" w:rsidRPr="00C7144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Строительный </w:t>
      </w:r>
      <w:proofErr w:type="gramStart"/>
      <w:r w:rsidRPr="00C714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144A">
        <w:rPr>
          <w:rFonts w:ascii="Arial" w:hAnsi="Arial" w:cs="Arial"/>
          <w:sz w:val="24"/>
          <w:szCs w:val="24"/>
        </w:rPr>
        <w:t xml:space="preserve"> строительством объектов в рамках реализации мероприятий подпрограммы осуществляет государственное учреждение капитального строительства «</w:t>
      </w:r>
      <w:proofErr w:type="spellStart"/>
      <w:r w:rsidRPr="00C7144A">
        <w:rPr>
          <w:rFonts w:ascii="Arial" w:hAnsi="Arial" w:cs="Arial"/>
          <w:sz w:val="24"/>
          <w:szCs w:val="24"/>
        </w:rPr>
        <w:t>ТулоблУКС</w:t>
      </w:r>
      <w:proofErr w:type="spellEnd"/>
      <w:r w:rsidRPr="00C7144A">
        <w:rPr>
          <w:rFonts w:ascii="Arial" w:hAnsi="Arial" w:cs="Arial"/>
          <w:sz w:val="24"/>
          <w:szCs w:val="24"/>
        </w:rPr>
        <w:t>».</w:t>
      </w:r>
    </w:p>
    <w:p w:rsidR="00F710F7" w:rsidRPr="00C7144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661DE9" w:rsidRPr="00C7144A" w:rsidRDefault="00661DE9" w:rsidP="00F47F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844113" w:rsidRPr="00C7144A" w:rsidRDefault="00844113" w:rsidP="00F47F1C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ascii="Arial" w:hAnsi="Arial" w:cs="Arial"/>
          <w:b/>
          <w:spacing w:val="2"/>
          <w:sz w:val="24"/>
          <w:szCs w:val="24"/>
        </w:rPr>
      </w:pPr>
      <w:r w:rsidRPr="00C7144A">
        <w:rPr>
          <w:rFonts w:ascii="Arial" w:hAnsi="Arial" w:cs="Arial"/>
          <w:b/>
          <w:spacing w:val="2"/>
          <w:sz w:val="24"/>
          <w:szCs w:val="24"/>
        </w:rPr>
        <w:t>О</w:t>
      </w:r>
      <w:r w:rsidR="00661DE9" w:rsidRPr="00C7144A">
        <w:rPr>
          <w:rFonts w:ascii="Arial" w:hAnsi="Arial" w:cs="Arial"/>
          <w:b/>
          <w:spacing w:val="2"/>
          <w:sz w:val="24"/>
          <w:szCs w:val="24"/>
        </w:rPr>
        <w:t>бщая потребность в ресурсах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559"/>
        <w:gridCol w:w="1417"/>
        <w:gridCol w:w="1276"/>
      </w:tblGrid>
      <w:tr w:rsidR="00844113" w:rsidRPr="00C7144A" w:rsidTr="005E1565">
        <w:tc>
          <w:tcPr>
            <w:tcW w:w="1951" w:type="dxa"/>
            <w:vMerge w:val="restart"/>
            <w:shd w:val="clear" w:color="auto" w:fill="auto"/>
          </w:tcPr>
          <w:p w:rsidR="00844113" w:rsidRPr="00C7144A" w:rsidRDefault="00844113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 xml:space="preserve">Объем ресурсного обеспечения программы, </w:t>
            </w:r>
            <w:r w:rsidRPr="00C7144A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844113" w:rsidRPr="00C7144A" w:rsidRDefault="00844113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Источники финансирования/</w:t>
            </w:r>
          </w:p>
          <w:p w:rsidR="00844113" w:rsidRPr="00C7144A" w:rsidRDefault="00844113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844113" w:rsidRPr="00C7144A" w:rsidRDefault="00844113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44113" w:rsidRPr="00C7144A" w:rsidRDefault="00844113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844113" w:rsidRPr="00C7144A" w:rsidRDefault="00844113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844113" w:rsidRPr="00C7144A" w:rsidRDefault="00844113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844113" w:rsidRPr="00C7144A" w:rsidRDefault="00844113" w:rsidP="00F47F1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144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7144A">
              <w:rPr>
                <w:sz w:val="24"/>
                <w:szCs w:val="24"/>
              </w:rPr>
              <w:t xml:space="preserve"> источники</w:t>
            </w:r>
          </w:p>
        </w:tc>
      </w:tr>
      <w:tr w:rsidR="00045F06" w:rsidRPr="00C7144A" w:rsidTr="005E1565">
        <w:tc>
          <w:tcPr>
            <w:tcW w:w="1951" w:type="dxa"/>
            <w:vMerge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22 468,743</w:t>
            </w:r>
          </w:p>
        </w:tc>
        <w:tc>
          <w:tcPr>
            <w:tcW w:w="1134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3 089,665</w:t>
            </w:r>
          </w:p>
        </w:tc>
        <w:tc>
          <w:tcPr>
            <w:tcW w:w="1559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 xml:space="preserve">15 108,591 </w:t>
            </w:r>
          </w:p>
        </w:tc>
        <w:tc>
          <w:tcPr>
            <w:tcW w:w="1417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4 270,487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45F06" w:rsidRPr="00C7144A" w:rsidRDefault="00045F06" w:rsidP="00F47F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144A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045F06" w:rsidRPr="00C7144A" w:rsidTr="005E1565">
        <w:tc>
          <w:tcPr>
            <w:tcW w:w="1951" w:type="dxa"/>
            <w:vMerge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17 569,978</w:t>
            </w:r>
          </w:p>
        </w:tc>
        <w:tc>
          <w:tcPr>
            <w:tcW w:w="1134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1 327,011</w:t>
            </w:r>
          </w:p>
        </w:tc>
        <w:tc>
          <w:tcPr>
            <w:tcW w:w="1559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11 492,967</w:t>
            </w:r>
          </w:p>
        </w:tc>
        <w:tc>
          <w:tcPr>
            <w:tcW w:w="1417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4 750,000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045F06" w:rsidRPr="00C7144A" w:rsidTr="005E1565">
        <w:tc>
          <w:tcPr>
            <w:tcW w:w="1951" w:type="dxa"/>
            <w:vMerge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12 478,810</w:t>
            </w:r>
          </w:p>
        </w:tc>
        <w:tc>
          <w:tcPr>
            <w:tcW w:w="1134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1 133,497</w:t>
            </w:r>
          </w:p>
        </w:tc>
        <w:tc>
          <w:tcPr>
            <w:tcW w:w="1559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9 845,313</w:t>
            </w:r>
          </w:p>
        </w:tc>
        <w:tc>
          <w:tcPr>
            <w:tcW w:w="1417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045F06" w:rsidRPr="00C7144A" w:rsidTr="005E1565">
        <w:tc>
          <w:tcPr>
            <w:tcW w:w="1951" w:type="dxa"/>
            <w:vMerge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12 463,631</w:t>
            </w:r>
          </w:p>
        </w:tc>
        <w:tc>
          <w:tcPr>
            <w:tcW w:w="1134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1 131,911</w:t>
            </w:r>
          </w:p>
        </w:tc>
        <w:tc>
          <w:tcPr>
            <w:tcW w:w="1559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9 831,720</w:t>
            </w:r>
          </w:p>
        </w:tc>
        <w:tc>
          <w:tcPr>
            <w:tcW w:w="1417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045F06" w:rsidRPr="00C7144A" w:rsidTr="005E1565">
        <w:tc>
          <w:tcPr>
            <w:tcW w:w="1951" w:type="dxa"/>
            <w:vMerge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5F06" w:rsidRPr="00C7144A" w:rsidRDefault="00045F06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4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12 463,631</w:t>
            </w:r>
          </w:p>
        </w:tc>
        <w:tc>
          <w:tcPr>
            <w:tcW w:w="1134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1 131,911</w:t>
            </w:r>
          </w:p>
        </w:tc>
        <w:tc>
          <w:tcPr>
            <w:tcW w:w="1559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9 831,720</w:t>
            </w:r>
          </w:p>
        </w:tc>
        <w:tc>
          <w:tcPr>
            <w:tcW w:w="1417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1 500,000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  <w:tr w:rsidR="00045F06" w:rsidRPr="00C7144A" w:rsidTr="005E1565">
        <w:trPr>
          <w:trHeight w:val="241"/>
        </w:trPr>
        <w:tc>
          <w:tcPr>
            <w:tcW w:w="1951" w:type="dxa"/>
            <w:vMerge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5F06" w:rsidRPr="00C7144A" w:rsidRDefault="00045F06" w:rsidP="00F47F1C">
            <w:pPr>
              <w:pStyle w:val="ConsPlusNormal"/>
              <w:contextualSpacing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77 444,793</w:t>
            </w:r>
          </w:p>
        </w:tc>
        <w:tc>
          <w:tcPr>
            <w:tcW w:w="1134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7 813,995</w:t>
            </w:r>
          </w:p>
        </w:tc>
        <w:tc>
          <w:tcPr>
            <w:tcW w:w="1559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56 110,311</w:t>
            </w:r>
          </w:p>
        </w:tc>
        <w:tc>
          <w:tcPr>
            <w:tcW w:w="1417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C7144A">
              <w:rPr>
                <w:sz w:val="24"/>
                <w:szCs w:val="24"/>
              </w:rPr>
              <w:t>13 520,487</w:t>
            </w:r>
          </w:p>
        </w:tc>
        <w:tc>
          <w:tcPr>
            <w:tcW w:w="1276" w:type="dxa"/>
            <w:shd w:val="clear" w:color="auto" w:fill="FFFFFF" w:themeFill="background1"/>
          </w:tcPr>
          <w:p w:rsidR="00045F06" w:rsidRPr="00C7144A" w:rsidRDefault="00045F06" w:rsidP="00F47F1C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C7144A">
              <w:rPr>
                <w:sz w:val="24"/>
                <w:szCs w:val="24"/>
              </w:rPr>
              <w:t>0</w:t>
            </w:r>
          </w:p>
        </w:tc>
      </w:tr>
    </w:tbl>
    <w:p w:rsidR="008F7583" w:rsidRPr="00C7144A" w:rsidRDefault="008F7583" w:rsidP="00F47F1C">
      <w:pPr>
        <w:tabs>
          <w:tab w:val="left" w:pos="8656"/>
        </w:tabs>
        <w:spacing w:after="0" w:line="240" w:lineRule="auto"/>
        <w:rPr>
          <w:rFonts w:ascii="Arial" w:hAnsi="Arial" w:cs="Arial"/>
          <w:sz w:val="24"/>
          <w:szCs w:val="24"/>
        </w:rPr>
        <w:sectPr w:rsidR="008F7583" w:rsidRPr="00C7144A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C7144A" w:rsidRDefault="00F710F7" w:rsidP="00F47F1C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>Информация о показателях результативности и эффективности муниципальной программы</w:t>
      </w:r>
    </w:p>
    <w:p w:rsidR="00F710F7" w:rsidRPr="00C7144A" w:rsidRDefault="00F710F7" w:rsidP="00F47F1C">
      <w:pPr>
        <w:pStyle w:val="a3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Перечень показателей результативности и эффективности муниципальной программы</w:t>
      </w:r>
    </w:p>
    <w:p w:rsidR="00F710F7" w:rsidRDefault="00F710F7" w:rsidP="00F47F1C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35"/>
        <w:gridCol w:w="3163"/>
        <w:gridCol w:w="1597"/>
        <w:gridCol w:w="901"/>
        <w:gridCol w:w="729"/>
        <w:gridCol w:w="729"/>
        <w:gridCol w:w="729"/>
        <w:gridCol w:w="729"/>
        <w:gridCol w:w="1680"/>
        <w:gridCol w:w="3901"/>
      </w:tblGrid>
      <w:tr w:rsidR="00F710F7" w:rsidRPr="00A51CD5" w:rsidTr="00A51CD5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A51CD5" w:rsidRDefault="00F710F7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 xml:space="preserve">№ </w:t>
            </w:r>
            <w:proofErr w:type="gramStart"/>
            <w:r w:rsidRPr="00A51CD5">
              <w:rPr>
                <w:rFonts w:ascii="Arial" w:hAnsi="Arial" w:cs="Arial"/>
              </w:rPr>
              <w:t>п</w:t>
            </w:r>
            <w:proofErr w:type="gramEnd"/>
            <w:r w:rsidRPr="00A51CD5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A51CD5" w:rsidRDefault="00F710F7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A51CD5" w:rsidRDefault="00F710F7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на момент разработки программы</w:t>
            </w:r>
            <w:r w:rsidR="00A51CD5" w:rsidRPr="00A51CD5">
              <w:rPr>
                <w:rFonts w:ascii="Arial" w:hAnsi="Arial" w:cs="Arial"/>
              </w:rPr>
              <w:t xml:space="preserve"> </w:t>
            </w:r>
            <w:r w:rsidRPr="00A51CD5">
              <w:rPr>
                <w:rFonts w:ascii="Arial" w:hAnsi="Arial" w:cs="Arial"/>
              </w:rPr>
              <w:t xml:space="preserve">(за </w:t>
            </w:r>
            <w:r w:rsidR="00F6362C" w:rsidRPr="00A51CD5">
              <w:rPr>
                <w:rFonts w:ascii="Arial" w:hAnsi="Arial" w:cs="Arial"/>
              </w:rPr>
              <w:t>2020</w:t>
            </w:r>
            <w:r w:rsidRPr="00A51CD5">
              <w:rPr>
                <w:rFonts w:ascii="Arial" w:hAnsi="Arial" w:cs="Arial"/>
              </w:rPr>
              <w:t xml:space="preserve"> год)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A51CD5" w:rsidRDefault="00F710F7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Значения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A51CD5" w:rsidRDefault="00F710F7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Наименование задач государственной программы или подпрограммы (региональной программы)</w:t>
            </w:r>
          </w:p>
        </w:tc>
      </w:tr>
      <w:tr w:rsidR="00F6362C" w:rsidRPr="00A51CD5" w:rsidTr="00A51CD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2021</w:t>
            </w:r>
            <w:r w:rsidR="00A51CD5" w:rsidRPr="00A51CD5">
              <w:rPr>
                <w:rFonts w:ascii="Arial" w:hAnsi="Arial" w:cs="Arial"/>
              </w:rPr>
              <w:t xml:space="preserve"> </w:t>
            </w:r>
            <w:r w:rsidRPr="00A51CD5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2022</w:t>
            </w:r>
            <w:r w:rsidR="00A51CD5" w:rsidRPr="00A51CD5">
              <w:rPr>
                <w:rFonts w:ascii="Arial" w:hAnsi="Arial" w:cs="Arial"/>
              </w:rPr>
              <w:t xml:space="preserve"> </w:t>
            </w:r>
            <w:r w:rsidRPr="00A51CD5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2023</w:t>
            </w:r>
            <w:r w:rsidR="00A51CD5" w:rsidRPr="00A51CD5">
              <w:rPr>
                <w:rFonts w:ascii="Arial" w:hAnsi="Arial" w:cs="Arial"/>
              </w:rPr>
              <w:t xml:space="preserve"> </w:t>
            </w:r>
            <w:r w:rsidRPr="00A51CD5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2024</w:t>
            </w:r>
            <w:r w:rsidR="00A51CD5" w:rsidRPr="00A51CD5">
              <w:rPr>
                <w:rFonts w:ascii="Arial" w:hAnsi="Arial" w:cs="Arial"/>
              </w:rPr>
              <w:t xml:space="preserve"> </w:t>
            </w:r>
            <w:r w:rsidRPr="00A51CD5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2025</w:t>
            </w:r>
            <w:r w:rsidR="00A51CD5" w:rsidRPr="00A51CD5">
              <w:rPr>
                <w:rFonts w:ascii="Arial" w:hAnsi="Arial" w:cs="Arial"/>
              </w:rPr>
              <w:t xml:space="preserve"> </w:t>
            </w:r>
            <w:r w:rsidRPr="00A51CD5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на момент завершения реализации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</w:p>
        </w:tc>
      </w:tr>
      <w:tr w:rsidR="00A51CD5" w:rsidRPr="00A51CD5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10</w:t>
            </w:r>
          </w:p>
        </w:tc>
      </w:tr>
      <w:tr w:rsidR="00535FA0" w:rsidRPr="00A51CD5" w:rsidTr="00A51CD5">
        <w:trPr>
          <w:tblHeader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Подпрограмма «Развитие жилищного строительства на территории муниципального образования Кимовский район на 2021 – 2025 годы»</w:t>
            </w:r>
          </w:p>
        </w:tc>
      </w:tr>
      <w:tr w:rsidR="00A51CD5" w:rsidRPr="00A51CD5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 xml:space="preserve">Объем жилищного строительства (ввод в действие жилых домов), </w:t>
            </w:r>
            <w:proofErr w:type="spellStart"/>
            <w:r w:rsidRPr="00A51CD5">
              <w:rPr>
                <w:rFonts w:ascii="Arial" w:hAnsi="Arial" w:cs="Arial"/>
              </w:rPr>
              <w:t>тыс.кв.м</w:t>
            </w:r>
            <w:proofErr w:type="spellEnd"/>
            <w:r w:rsidRPr="00A51CD5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11,358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 xml:space="preserve">Модернизация строительной отрасли и повышение качества индустриального жилищного строительства, </w:t>
            </w:r>
          </w:p>
          <w:p w:rsidR="00F6362C" w:rsidRPr="00A51CD5" w:rsidRDefault="00F6362C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</w:t>
            </w:r>
          </w:p>
        </w:tc>
      </w:tr>
      <w:tr w:rsidR="00A51CD5" w:rsidRPr="00A51CD5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 xml:space="preserve">Ввод жилья в рамках мероприятий по стимулированию программ развития жилищного строительства </w:t>
            </w:r>
            <w:proofErr w:type="gramStart"/>
            <w:r w:rsidRPr="00A51CD5">
              <w:rPr>
                <w:rFonts w:ascii="Arial" w:hAnsi="Arial" w:cs="Arial"/>
              </w:rPr>
              <w:t>в</w:t>
            </w:r>
            <w:proofErr w:type="gramEnd"/>
            <w:r w:rsidRPr="00A51CD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51CD5">
              <w:rPr>
                <w:rFonts w:ascii="Arial" w:hAnsi="Arial" w:cs="Arial"/>
              </w:rPr>
              <w:t>Кимовском</w:t>
            </w:r>
            <w:proofErr w:type="spellEnd"/>
            <w:proofErr w:type="gramEnd"/>
            <w:r w:rsidRPr="00A51CD5">
              <w:rPr>
                <w:rFonts w:ascii="Arial" w:hAnsi="Arial" w:cs="Arial"/>
              </w:rPr>
              <w:t xml:space="preserve"> районе, </w:t>
            </w:r>
            <w:proofErr w:type="spellStart"/>
            <w:r w:rsidRPr="00A51CD5">
              <w:rPr>
                <w:rFonts w:ascii="Arial" w:hAnsi="Arial" w:cs="Arial"/>
              </w:rPr>
              <w:t>тыс.кв.м</w:t>
            </w:r>
            <w:proofErr w:type="spellEnd"/>
            <w:r w:rsidRPr="00A51CD5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8,35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8,35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</w:p>
        </w:tc>
      </w:tr>
      <w:tr w:rsidR="00A51CD5" w:rsidRPr="00A51CD5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 xml:space="preserve">Ввод объектов в эксплуатацию в рамках мероприятия по развитию жилищного строительства </w:t>
            </w:r>
            <w:proofErr w:type="gramStart"/>
            <w:r w:rsidRPr="00A51CD5">
              <w:rPr>
                <w:rFonts w:ascii="Arial" w:hAnsi="Arial" w:cs="Arial"/>
              </w:rPr>
              <w:t>в</w:t>
            </w:r>
            <w:proofErr w:type="gramEnd"/>
            <w:r w:rsidRPr="00A51CD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51CD5">
              <w:rPr>
                <w:rFonts w:ascii="Arial" w:hAnsi="Arial" w:cs="Arial"/>
              </w:rPr>
              <w:t>Кимовском</w:t>
            </w:r>
            <w:proofErr w:type="spellEnd"/>
            <w:proofErr w:type="gramEnd"/>
            <w:r w:rsidRPr="00A51CD5">
              <w:rPr>
                <w:rFonts w:ascii="Arial" w:hAnsi="Arial" w:cs="Arial"/>
              </w:rPr>
              <w:t xml:space="preserve"> районе, 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</w:p>
        </w:tc>
      </w:tr>
      <w:tr w:rsidR="00535FA0" w:rsidRPr="00A51CD5" w:rsidTr="00A51CD5">
        <w:trPr>
          <w:tblHeader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Подпрограмма «Обеспечение жильем молодых семей в муниципальном образовании Кимовский район на 2021-2025 годы</w:t>
            </w:r>
          </w:p>
        </w:tc>
      </w:tr>
      <w:tr w:rsidR="00A51CD5" w:rsidRPr="00A51CD5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3150DB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3150DB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3150DB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 xml:space="preserve">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A51CD5">
              <w:rPr>
                <w:rFonts w:ascii="Arial" w:hAnsi="Arial" w:cs="Arial"/>
              </w:rPr>
              <w:t>порядке</w:t>
            </w:r>
            <w:proofErr w:type="gramEnd"/>
            <w:r w:rsidRPr="00A51CD5">
              <w:rPr>
                <w:rFonts w:ascii="Arial" w:hAnsi="Arial" w:cs="Arial"/>
              </w:rPr>
              <w:t xml:space="preserve"> нуждающимися в </w:t>
            </w:r>
            <w:proofErr w:type="spellStart"/>
            <w:r w:rsidRPr="00A51CD5">
              <w:rPr>
                <w:rFonts w:ascii="Arial" w:hAnsi="Arial" w:cs="Arial"/>
              </w:rPr>
              <w:t>улчшении</w:t>
            </w:r>
            <w:proofErr w:type="spellEnd"/>
            <w:r w:rsidRPr="00A51CD5">
              <w:rPr>
                <w:rFonts w:ascii="Arial" w:hAnsi="Arial" w:cs="Arial"/>
              </w:rPr>
              <w:t xml:space="preserve"> жилищных условия </w:t>
            </w:r>
          </w:p>
        </w:tc>
      </w:tr>
      <w:tr w:rsidR="00A51CD5" w:rsidRPr="00A51CD5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Количество молодых семей, получивших дополнительную социальную выплату при рождении (усыновлении) одного ребенка, семей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3150DB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3150DB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</w:p>
        </w:tc>
      </w:tr>
      <w:tr w:rsidR="00535FA0" w:rsidRPr="00A51CD5" w:rsidTr="00A51CD5">
        <w:trPr>
          <w:tblHeader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Подпрограмма</w:t>
            </w:r>
            <w:r w:rsidR="00C7144A" w:rsidRPr="00A51CD5">
              <w:rPr>
                <w:rFonts w:ascii="Arial" w:hAnsi="Arial" w:cs="Arial"/>
              </w:rPr>
              <w:t xml:space="preserve"> </w:t>
            </w:r>
            <w:r w:rsidRPr="00A51CD5">
              <w:rPr>
                <w:rFonts w:ascii="Arial" w:hAnsi="Arial" w:cs="Arial"/>
              </w:rPr>
              <w:t>«Газификация населенных пунктов муниципального образования Кимовский район на 2021 – 2025 годы»</w:t>
            </w:r>
          </w:p>
        </w:tc>
      </w:tr>
      <w:tr w:rsidR="00A51CD5" w:rsidRPr="00A51CD5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Протяженность построенных внутри-поселковых распределительных газопроводов, километров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EC769B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EC769B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Создание технической возможности подключения (технологического присоединения) к сетям газораспределения объектов капитального строительства</w:t>
            </w:r>
          </w:p>
        </w:tc>
      </w:tr>
      <w:tr w:rsidR="00A51CD5" w:rsidRPr="00A51CD5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Количество газифицированных населенных пунктов Кимовского района, 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EC769B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EC769B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A51CD5" w:rsidRDefault="00535FA0" w:rsidP="00A51CD5">
            <w:pPr>
              <w:rPr>
                <w:rFonts w:ascii="Arial" w:hAnsi="Arial" w:cs="Arial"/>
              </w:rPr>
            </w:pPr>
            <w:r w:rsidRPr="00A51CD5">
              <w:rPr>
                <w:rFonts w:ascii="Arial" w:hAnsi="Arial" w:cs="Arial"/>
              </w:rPr>
              <w:t>Создание условий для перевода потребителей на использование природного газа</w:t>
            </w:r>
          </w:p>
        </w:tc>
      </w:tr>
    </w:tbl>
    <w:p w:rsidR="00F710F7" w:rsidRPr="00C7144A" w:rsidRDefault="00F710F7" w:rsidP="00F47F1C">
      <w:pPr>
        <w:pStyle w:val="a3"/>
        <w:widowControl w:val="0"/>
        <w:numPr>
          <w:ilvl w:val="1"/>
          <w:numId w:val="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F710F7" w:rsidRPr="00C7144A" w:rsidSect="00243BB2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710F7" w:rsidRPr="00C7144A" w:rsidRDefault="00F710F7" w:rsidP="00F47F1C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>Обоснование состава показателей муниципальной программы</w:t>
      </w:r>
    </w:p>
    <w:p w:rsidR="00F710F7" w:rsidRPr="00C7144A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  <w:lang w:eastAsia="zh-CN"/>
        </w:rPr>
        <w:t xml:space="preserve">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программы, а также характеризует эффективность реализуемых мер в сфере строительства </w:t>
      </w:r>
      <w:proofErr w:type="gramStart"/>
      <w:r w:rsidRPr="00C7144A">
        <w:rPr>
          <w:rFonts w:ascii="Arial" w:hAnsi="Arial" w:cs="Arial"/>
          <w:sz w:val="24"/>
          <w:szCs w:val="24"/>
          <w:lang w:eastAsia="zh-CN"/>
        </w:rPr>
        <w:t>в</w:t>
      </w:r>
      <w:proofErr w:type="gramEnd"/>
      <w:r w:rsidRPr="00C7144A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C7144A">
        <w:rPr>
          <w:rFonts w:ascii="Arial" w:hAnsi="Arial" w:cs="Arial"/>
          <w:sz w:val="24"/>
          <w:szCs w:val="24"/>
          <w:lang w:eastAsia="zh-CN"/>
        </w:rPr>
        <w:t>Кимовском</w:t>
      </w:r>
      <w:proofErr w:type="gramEnd"/>
      <w:r w:rsidRPr="00C7144A">
        <w:rPr>
          <w:rFonts w:ascii="Arial" w:hAnsi="Arial" w:cs="Arial"/>
          <w:sz w:val="24"/>
          <w:szCs w:val="24"/>
          <w:lang w:eastAsia="zh-CN"/>
        </w:rPr>
        <w:t xml:space="preserve"> районе.</w:t>
      </w:r>
    </w:p>
    <w:p w:rsidR="00F710F7" w:rsidRPr="00C7144A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</w:rPr>
        <w:t>Перечень показателей результативности и эффективности программы сформирован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Указом Губернатора Тульской области от 24 сентября 2018 года № 203 «О стратегических направлениях, целях и задачах развития Тульской области на период до 2024 года».</w:t>
      </w:r>
      <w:proofErr w:type="gramEnd"/>
    </w:p>
    <w:p w:rsidR="00F710F7" w:rsidRPr="00C7144A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7144A">
        <w:rPr>
          <w:rFonts w:ascii="Arial" w:hAnsi="Arial" w:cs="Arial"/>
          <w:sz w:val="24"/>
          <w:szCs w:val="24"/>
          <w:lang w:eastAsia="zh-CN"/>
        </w:rPr>
        <w:t>Показатели «Объем жилищного строительства (ввод в действие жилых домов)», «Ввод жилья в рамках мероприятий по стимулированию программ развития жилищного строительства в Кимовском районе», «Ввод объектов в эксплуатацию в рамках мероприятия по развитию жилищного строительства в Тульской области» характеризуют эффективность реализуемых мероприятий, направленных на модернизацию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</w:t>
      </w:r>
      <w:proofErr w:type="gramEnd"/>
      <w:r w:rsidRPr="00C7144A">
        <w:rPr>
          <w:rFonts w:ascii="Arial" w:hAnsi="Arial" w:cs="Arial"/>
          <w:sz w:val="24"/>
          <w:szCs w:val="24"/>
          <w:lang w:eastAsia="zh-CN"/>
        </w:rPr>
        <w:t xml:space="preserve">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жилья, и содержатся в федеральном и региональном проектах «Жилье».</w:t>
      </w:r>
      <w:r w:rsidRPr="00C7144A">
        <w:rPr>
          <w:rFonts w:ascii="Arial" w:hAnsi="Arial" w:cs="Arial"/>
          <w:sz w:val="24"/>
          <w:szCs w:val="24"/>
        </w:rPr>
        <w:t xml:space="preserve"> </w:t>
      </w:r>
    </w:p>
    <w:p w:rsidR="00F710F7" w:rsidRPr="00C7144A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Показатели «Количество молодых семей, получивших свидетельство о праве на получение социальной выплаты на приобретение (строительство) жилого помещения» и «Количество молодых семей, получивших дополнительную социальную выплату при рождении (усыновлении) одного ребенка» характеризуют эффективность реализуемых мероприятий, </w:t>
      </w:r>
      <w:r w:rsidRPr="00C7144A">
        <w:rPr>
          <w:rFonts w:ascii="Arial" w:hAnsi="Arial" w:cs="Arial"/>
          <w:sz w:val="24"/>
          <w:szCs w:val="24"/>
          <w:lang w:eastAsia="zh-CN"/>
        </w:rPr>
        <w:t xml:space="preserve">направленных на формирование и развитие финансовых механизмов, направленных на решение жилищной проблемы молодых семей, признанных в установленном </w:t>
      </w:r>
      <w:proofErr w:type="gramStart"/>
      <w:r w:rsidRPr="00C7144A">
        <w:rPr>
          <w:rFonts w:ascii="Arial" w:hAnsi="Arial" w:cs="Arial"/>
          <w:sz w:val="24"/>
          <w:szCs w:val="24"/>
          <w:lang w:eastAsia="zh-CN"/>
        </w:rPr>
        <w:t>порядке</w:t>
      </w:r>
      <w:proofErr w:type="gramEnd"/>
      <w:r w:rsidRPr="00C7144A">
        <w:rPr>
          <w:rFonts w:ascii="Arial" w:hAnsi="Arial" w:cs="Arial"/>
          <w:sz w:val="24"/>
          <w:szCs w:val="24"/>
          <w:lang w:eastAsia="zh-CN"/>
        </w:rPr>
        <w:t xml:space="preserve"> нуждающимися в улучшении жилищных условий.</w:t>
      </w:r>
    </w:p>
    <w:p w:rsidR="00F710F7" w:rsidRPr="00C7144A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C7144A">
        <w:rPr>
          <w:rFonts w:ascii="Arial" w:hAnsi="Arial" w:cs="Arial"/>
          <w:sz w:val="24"/>
          <w:szCs w:val="24"/>
        </w:rPr>
        <w:t xml:space="preserve">Показатель «Протяженность построенных </w:t>
      </w:r>
      <w:proofErr w:type="spellStart"/>
      <w:r w:rsidRPr="00C7144A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C7144A">
        <w:rPr>
          <w:rFonts w:ascii="Arial" w:hAnsi="Arial" w:cs="Arial"/>
          <w:sz w:val="24"/>
          <w:szCs w:val="24"/>
        </w:rPr>
        <w:t xml:space="preserve"> распределительных газопроводов» характеризует эффективность реализуемых мероприятий, </w:t>
      </w:r>
      <w:r w:rsidRPr="00C7144A">
        <w:rPr>
          <w:rFonts w:ascii="Arial" w:hAnsi="Arial" w:cs="Arial"/>
          <w:sz w:val="24"/>
          <w:szCs w:val="24"/>
          <w:lang w:eastAsia="zh-CN"/>
        </w:rPr>
        <w:t>направленных на создание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B47985" w:rsidRPr="00C7144A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 xml:space="preserve">Показатель «Количество газифицированных населенных пунктов Кимовского района» характеризует эффективность реализуемых мероприятий, </w:t>
      </w:r>
      <w:r w:rsidRPr="00C7144A">
        <w:rPr>
          <w:rFonts w:ascii="Arial" w:hAnsi="Arial" w:cs="Arial"/>
          <w:sz w:val="24"/>
          <w:szCs w:val="24"/>
          <w:lang w:eastAsia="zh-CN"/>
        </w:rPr>
        <w:t xml:space="preserve">направленных </w:t>
      </w:r>
      <w:r w:rsidRPr="00C7144A">
        <w:rPr>
          <w:rFonts w:ascii="Arial" w:hAnsi="Arial" w:cs="Arial"/>
          <w:sz w:val="24"/>
          <w:szCs w:val="24"/>
        </w:rPr>
        <w:t>на создание условий для перевода потребителей на использование природного газа.</w:t>
      </w:r>
    </w:p>
    <w:p w:rsidR="00F710F7" w:rsidRPr="00C7144A" w:rsidRDefault="00F710F7" w:rsidP="00F47F1C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F710F7" w:rsidRPr="00C7144A" w:rsidSect="009B5D83">
          <w:headerReference w:type="default" r:id="rId15"/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F710F7" w:rsidRPr="00C7144A" w:rsidRDefault="00F710F7" w:rsidP="00F47F1C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144A">
        <w:rPr>
          <w:rFonts w:ascii="Arial" w:hAnsi="Arial" w:cs="Arial"/>
          <w:b/>
          <w:sz w:val="24"/>
          <w:szCs w:val="24"/>
        </w:rPr>
        <w:lastRenderedPageBreak/>
        <w:t>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</w:t>
      </w:r>
    </w:p>
    <w:p w:rsidR="00F710F7" w:rsidRPr="00C7144A" w:rsidRDefault="00F710F7" w:rsidP="00F47F1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F710F7" w:rsidRPr="00C7144A" w:rsidRDefault="00F710F7" w:rsidP="00F47F1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Реализация муниципальной программы на территории Кимовского района связана с несколькими типами рисков.</w:t>
      </w:r>
    </w:p>
    <w:p w:rsidR="00F710F7" w:rsidRDefault="00F710F7" w:rsidP="00F47F1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Описание рисков, оценка уровня влияния рисков и меры управления рисками приведены в таблице.</w:t>
      </w:r>
    </w:p>
    <w:p w:rsidR="00A40780" w:rsidRDefault="00A40780" w:rsidP="00F47F1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6"/>
        <w:tblW w:w="9866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226"/>
        <w:gridCol w:w="2862"/>
      </w:tblGrid>
      <w:tr w:rsidR="00A40780" w:rsidTr="00A40780">
        <w:tc>
          <w:tcPr>
            <w:tcW w:w="2093" w:type="dxa"/>
          </w:tcPr>
          <w:p w:rsidR="00A40780" w:rsidRDefault="00A40780" w:rsidP="00A40780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Наименование риска</w:t>
            </w:r>
          </w:p>
        </w:tc>
        <w:tc>
          <w:tcPr>
            <w:tcW w:w="3685" w:type="dxa"/>
          </w:tcPr>
          <w:p w:rsidR="00A40780" w:rsidRDefault="00A40780" w:rsidP="00A40780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Факторы риска</w:t>
            </w:r>
          </w:p>
        </w:tc>
        <w:tc>
          <w:tcPr>
            <w:tcW w:w="1226" w:type="dxa"/>
          </w:tcPr>
          <w:p w:rsidR="00A40780" w:rsidRDefault="00A40780" w:rsidP="00A40780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Оценка уровня влияния риска</w:t>
            </w:r>
          </w:p>
        </w:tc>
        <w:tc>
          <w:tcPr>
            <w:tcW w:w="2862" w:type="dxa"/>
          </w:tcPr>
          <w:p w:rsidR="00A40780" w:rsidRDefault="00A40780" w:rsidP="00A40780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Меры управления рисками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A40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40780" w:rsidRPr="00A40780" w:rsidRDefault="00A40780" w:rsidP="00A40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A40780" w:rsidRPr="00A40780" w:rsidRDefault="00A40780" w:rsidP="00A40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A40780" w:rsidRPr="00A40780" w:rsidRDefault="00A40780" w:rsidP="00A40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40780" w:rsidTr="00A40780">
        <w:tc>
          <w:tcPr>
            <w:tcW w:w="9866" w:type="dxa"/>
            <w:gridSpan w:val="4"/>
          </w:tcPr>
          <w:p w:rsidR="00A40780" w:rsidRDefault="00A40780" w:rsidP="00A40780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Внешние риски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Ухудшение экономической ситуации, снижение поступлений доходов в бюджет муниципального образования Кимовский район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Совершенствование планирования, мониторинг и своевременная корректировка объемов финансирования программы.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Политические риски</w:t>
            </w: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Кадровые перестановки в руководстве страны, пересмотр основных направлений стратегического развития на долгосрочный период, передача дополнительных полномочий региональным органам исполнительной власти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Оперативное реагирование, корректировка мероприятий и задач программы в соответствии с планами стратегического развития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Законодательные риски</w:t>
            </w: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Оперативное реагирование на изменение федерального законодательства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Возникновение обстоятельств непреодолимой силы (природные, техногенные катастрофы), в результате чего невозможность реализации мероприятий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Актуализация плана реализации программы по наиболее приоритетным направлениям, учет возможности ухудшения погодных условий при установлении сроков выполнения работ подрядными организациями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Социальные риски</w:t>
            </w: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 xml:space="preserve">Возникновение дестабилизирующих общественных процессов </w:t>
            </w:r>
            <w:r w:rsidRPr="00A40780">
              <w:rPr>
                <w:rFonts w:ascii="Arial" w:hAnsi="Arial" w:cs="Arial"/>
                <w:sz w:val="24"/>
                <w:szCs w:val="24"/>
              </w:rPr>
              <w:lastRenderedPageBreak/>
              <w:t>(низкая социальная активность населения)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 xml:space="preserve">Информационное, организационно-методическое и </w:t>
            </w:r>
            <w:r w:rsidRPr="00A40780">
              <w:rPr>
                <w:rFonts w:ascii="Arial" w:hAnsi="Arial" w:cs="Arial"/>
                <w:sz w:val="24"/>
                <w:szCs w:val="24"/>
              </w:rPr>
              <w:lastRenderedPageBreak/>
              <w:t>экспертно-аналитическое сопровождение проводимых мероприятий, проведение социологических исследований, освещение в средствах массовой информации мероприятий и результатов реализации программы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lastRenderedPageBreak/>
              <w:t>Международные риски</w:t>
            </w: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Вероятность финансовых потерь в связи с динамикой международной обстановки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</w:t>
            </w:r>
          </w:p>
        </w:tc>
      </w:tr>
      <w:tr w:rsidR="00A40780" w:rsidTr="00A40780">
        <w:tc>
          <w:tcPr>
            <w:tcW w:w="9866" w:type="dxa"/>
            <w:gridSpan w:val="4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Внутренние риски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Управленческие риски</w:t>
            </w: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Вероятность неоптимального распределения работ по исполнению мероприятий и достижению показателей программы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 xml:space="preserve">Усиление </w:t>
            </w:r>
            <w:proofErr w:type="gramStart"/>
            <w:r w:rsidRPr="00A4078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40780">
              <w:rPr>
                <w:rFonts w:ascii="Arial" w:hAnsi="Arial" w:cs="Arial"/>
                <w:sz w:val="24"/>
                <w:szCs w:val="24"/>
              </w:rPr>
              <w:t xml:space="preserve"> ходом выполнения программных мероприятий и совершенствование механизма управления реализацией программы, ежегодная корректировка программных мероприятий и показателей в зависимости от достигнутых результатов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Некачественное и (или) несвоевременное исполнение мероприятий программы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Применение штрафных санкций к исполнителям работ в рамках заключенных контрактов, мониторинг исполнения мероприятий органами местного самоуправления Тульской области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 xml:space="preserve">Несвоевременная и (или) недостаточная проработка и </w:t>
            </w:r>
            <w:r w:rsidRPr="00A40780">
              <w:rPr>
                <w:rFonts w:ascii="Arial" w:hAnsi="Arial" w:cs="Arial"/>
                <w:sz w:val="24"/>
                <w:szCs w:val="24"/>
              </w:rPr>
              <w:lastRenderedPageBreak/>
              <w:t>принятие нормативных правовых актов Тульской области в сфере реализации программы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и более </w:t>
            </w:r>
            <w:r w:rsidRPr="00A40780">
              <w:rPr>
                <w:rFonts w:ascii="Arial" w:hAnsi="Arial" w:cs="Arial"/>
                <w:sz w:val="24"/>
                <w:szCs w:val="24"/>
              </w:rPr>
              <w:lastRenderedPageBreak/>
              <w:t>детальная проработка проектов нормативных правовых актов Тульской области в сфере реализации программы</w:t>
            </w:r>
          </w:p>
        </w:tc>
      </w:tr>
      <w:tr w:rsidR="00A40780" w:rsidTr="00A40780">
        <w:tc>
          <w:tcPr>
            <w:tcW w:w="2093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Дефицит квалифицированных кадров</w:t>
            </w:r>
          </w:p>
        </w:tc>
        <w:tc>
          <w:tcPr>
            <w:tcW w:w="1226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2862" w:type="dxa"/>
          </w:tcPr>
          <w:p w:rsidR="00A40780" w:rsidRPr="00A40780" w:rsidRDefault="00A40780" w:rsidP="00CF2F38">
            <w:pPr>
              <w:rPr>
                <w:rFonts w:ascii="Arial" w:hAnsi="Arial" w:cs="Arial"/>
                <w:sz w:val="24"/>
                <w:szCs w:val="24"/>
              </w:rPr>
            </w:pPr>
            <w:r w:rsidRPr="00A40780">
              <w:rPr>
                <w:rFonts w:ascii="Arial" w:hAnsi="Arial" w:cs="Arial"/>
                <w:sz w:val="24"/>
                <w:szCs w:val="24"/>
              </w:rPr>
              <w:t>Повышение квалификации ответственных исполнителей, оперативное реагирование на выявленные недостатки в процедурах кадрового обеспечения</w:t>
            </w:r>
          </w:p>
        </w:tc>
      </w:tr>
    </w:tbl>
    <w:p w:rsidR="00A40780" w:rsidRDefault="00A40780" w:rsidP="00F47F1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меры:</w:t>
      </w:r>
    </w:p>
    <w:p w:rsidR="00F710F7" w:rsidRPr="00C7144A" w:rsidRDefault="00F710F7" w:rsidP="00F47F1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осуществление отбора подрядных организаций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710F7" w:rsidRPr="00C7144A" w:rsidRDefault="00F710F7" w:rsidP="00F47F1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осуществление строительного (технического) надзора при выполнении работ на объектах с ГУКС ТО «</w:t>
      </w:r>
      <w:proofErr w:type="spellStart"/>
      <w:r w:rsidRPr="00C7144A">
        <w:rPr>
          <w:rFonts w:ascii="Arial" w:hAnsi="Arial" w:cs="Arial"/>
          <w:sz w:val="24"/>
          <w:szCs w:val="24"/>
        </w:rPr>
        <w:t>ТулоблУКС</w:t>
      </w:r>
      <w:proofErr w:type="spellEnd"/>
      <w:r w:rsidRPr="00C7144A">
        <w:rPr>
          <w:rFonts w:ascii="Arial" w:hAnsi="Arial" w:cs="Arial"/>
          <w:sz w:val="24"/>
          <w:szCs w:val="24"/>
        </w:rPr>
        <w:t>»;</w:t>
      </w:r>
    </w:p>
    <w:p w:rsidR="00F710F7" w:rsidRPr="00C7144A" w:rsidRDefault="00F710F7" w:rsidP="00F47F1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проведение мониторинга за ходом выполнения мероприятий подпрограмм муниципальной программы, в том числе реализацией конкретных мероприятий.</w:t>
      </w:r>
    </w:p>
    <w:p w:rsidR="00F710F7" w:rsidRPr="00C7144A" w:rsidRDefault="00F710F7" w:rsidP="00F47F1C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10F7" w:rsidRPr="00C7144A" w:rsidRDefault="00F710F7" w:rsidP="00F47F1C">
      <w:pPr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144A">
        <w:rPr>
          <w:rFonts w:ascii="Arial" w:hAnsi="Arial" w:cs="Arial"/>
          <w:sz w:val="24"/>
          <w:szCs w:val="24"/>
        </w:rPr>
        <w:t>_____________________________________</w:t>
      </w:r>
    </w:p>
    <w:p w:rsidR="00F710F7" w:rsidRPr="00C7144A" w:rsidRDefault="00F710F7" w:rsidP="00F47F1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F710F7" w:rsidRPr="00C7144A" w:rsidSect="009B5D83">
      <w:headerReference w:type="default" r:id="rId16"/>
      <w:pgSz w:w="11905" w:h="16838"/>
      <w:pgMar w:top="1134" w:right="567" w:bottom="1134" w:left="1701" w:header="425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BA" w:rsidRDefault="00BA50BA" w:rsidP="00F710F7">
      <w:pPr>
        <w:spacing w:after="0" w:line="240" w:lineRule="auto"/>
      </w:pPr>
      <w:r>
        <w:separator/>
      </w:r>
    </w:p>
  </w:endnote>
  <w:endnote w:type="continuationSeparator" w:id="0">
    <w:p w:rsidR="00BA50BA" w:rsidRDefault="00BA50BA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BA" w:rsidRDefault="00BA50BA" w:rsidP="00F710F7">
      <w:pPr>
        <w:spacing w:after="0" w:line="240" w:lineRule="auto"/>
      </w:pPr>
      <w:r>
        <w:separator/>
      </w:r>
    </w:p>
  </w:footnote>
  <w:footnote w:type="continuationSeparator" w:id="0">
    <w:p w:rsidR="00BA50BA" w:rsidRDefault="00BA50BA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5954"/>
      <w:docPartObj>
        <w:docPartGallery w:val="Page Numbers (Top of Page)"/>
        <w:docPartUnique/>
      </w:docPartObj>
    </w:sdtPr>
    <w:sdtEndPr/>
    <w:sdtContent>
      <w:p w:rsidR="00C7144A" w:rsidRDefault="00C7144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C7144A" w:rsidRDefault="00C714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4111"/>
      <w:docPartObj>
        <w:docPartGallery w:val="Page Numbers (Top of Page)"/>
        <w:docPartUnique/>
      </w:docPartObj>
    </w:sdtPr>
    <w:sdtEndPr/>
    <w:sdtContent>
      <w:p w:rsidR="00C7144A" w:rsidRDefault="00C7144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60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7144A" w:rsidRPr="00036536" w:rsidRDefault="00C7144A" w:rsidP="0003653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4113"/>
      <w:docPartObj>
        <w:docPartGallery w:val="Page Numbers (Top of Page)"/>
        <w:docPartUnique/>
      </w:docPartObj>
    </w:sdtPr>
    <w:sdtEndPr/>
    <w:sdtContent>
      <w:p w:rsidR="00C7144A" w:rsidRDefault="00C7144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60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C7144A" w:rsidRDefault="00C7144A" w:rsidP="007569B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4C2357"/>
    <w:multiLevelType w:val="hybridMultilevel"/>
    <w:tmpl w:val="E576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60EF7"/>
    <w:multiLevelType w:val="multilevel"/>
    <w:tmpl w:val="509607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4"/>
  </w:num>
  <w:num w:numId="16">
    <w:abstractNumId w:val="13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0F7"/>
    <w:rsid w:val="00004F73"/>
    <w:rsid w:val="000064AF"/>
    <w:rsid w:val="000103B0"/>
    <w:rsid w:val="000109FC"/>
    <w:rsid w:val="000156D4"/>
    <w:rsid w:val="00015C76"/>
    <w:rsid w:val="000264D2"/>
    <w:rsid w:val="00032FF4"/>
    <w:rsid w:val="00033830"/>
    <w:rsid w:val="00035293"/>
    <w:rsid w:val="00036536"/>
    <w:rsid w:val="0004361E"/>
    <w:rsid w:val="00045F06"/>
    <w:rsid w:val="0005296F"/>
    <w:rsid w:val="00055A69"/>
    <w:rsid w:val="00060E7A"/>
    <w:rsid w:val="00061E4A"/>
    <w:rsid w:val="00063247"/>
    <w:rsid w:val="00064D49"/>
    <w:rsid w:val="00071C0F"/>
    <w:rsid w:val="00073FD1"/>
    <w:rsid w:val="000740B5"/>
    <w:rsid w:val="00086D53"/>
    <w:rsid w:val="00096C0C"/>
    <w:rsid w:val="000B1C7A"/>
    <w:rsid w:val="000B41E5"/>
    <w:rsid w:val="000D00D0"/>
    <w:rsid w:val="000D5BD5"/>
    <w:rsid w:val="00100B1D"/>
    <w:rsid w:val="00105ECA"/>
    <w:rsid w:val="001232C1"/>
    <w:rsid w:val="00123AC2"/>
    <w:rsid w:val="00131602"/>
    <w:rsid w:val="0013225D"/>
    <w:rsid w:val="00133358"/>
    <w:rsid w:val="001514AD"/>
    <w:rsid w:val="0015300D"/>
    <w:rsid w:val="00153F3D"/>
    <w:rsid w:val="00155D60"/>
    <w:rsid w:val="001610AE"/>
    <w:rsid w:val="0016183D"/>
    <w:rsid w:val="00167BE5"/>
    <w:rsid w:val="00171167"/>
    <w:rsid w:val="00172BF2"/>
    <w:rsid w:val="00176E8D"/>
    <w:rsid w:val="00181F2B"/>
    <w:rsid w:val="00183B59"/>
    <w:rsid w:val="0018732F"/>
    <w:rsid w:val="00197104"/>
    <w:rsid w:val="0019796A"/>
    <w:rsid w:val="00197F56"/>
    <w:rsid w:val="001A0C85"/>
    <w:rsid w:val="001A7D66"/>
    <w:rsid w:val="001C192A"/>
    <w:rsid w:val="001C42EA"/>
    <w:rsid w:val="001C7007"/>
    <w:rsid w:val="001C75C6"/>
    <w:rsid w:val="001D7CBD"/>
    <w:rsid w:val="00210DB2"/>
    <w:rsid w:val="00214247"/>
    <w:rsid w:val="002164C9"/>
    <w:rsid w:val="002340F9"/>
    <w:rsid w:val="002410CD"/>
    <w:rsid w:val="00243BB2"/>
    <w:rsid w:val="002440D4"/>
    <w:rsid w:val="00245D68"/>
    <w:rsid w:val="002528CC"/>
    <w:rsid w:val="0025583B"/>
    <w:rsid w:val="00255C94"/>
    <w:rsid w:val="00257CFF"/>
    <w:rsid w:val="00260252"/>
    <w:rsid w:val="002821C9"/>
    <w:rsid w:val="0029138D"/>
    <w:rsid w:val="00293F43"/>
    <w:rsid w:val="00294D60"/>
    <w:rsid w:val="002A20F2"/>
    <w:rsid w:val="002A27DD"/>
    <w:rsid w:val="002A4B49"/>
    <w:rsid w:val="002A79C3"/>
    <w:rsid w:val="002C498D"/>
    <w:rsid w:val="002D0A79"/>
    <w:rsid w:val="002D0B41"/>
    <w:rsid w:val="002D2210"/>
    <w:rsid w:val="002D6A98"/>
    <w:rsid w:val="002D7A44"/>
    <w:rsid w:val="002E6647"/>
    <w:rsid w:val="002E7FDE"/>
    <w:rsid w:val="002F1E9B"/>
    <w:rsid w:val="002F2085"/>
    <w:rsid w:val="003150DB"/>
    <w:rsid w:val="003217CE"/>
    <w:rsid w:val="003249AE"/>
    <w:rsid w:val="0034027C"/>
    <w:rsid w:val="0034180D"/>
    <w:rsid w:val="00356227"/>
    <w:rsid w:val="0036673F"/>
    <w:rsid w:val="00370470"/>
    <w:rsid w:val="00370849"/>
    <w:rsid w:val="003711D3"/>
    <w:rsid w:val="003767C8"/>
    <w:rsid w:val="00392834"/>
    <w:rsid w:val="00393B64"/>
    <w:rsid w:val="003966FC"/>
    <w:rsid w:val="003A1172"/>
    <w:rsid w:val="003B29ED"/>
    <w:rsid w:val="003B62CB"/>
    <w:rsid w:val="003C0008"/>
    <w:rsid w:val="003D2245"/>
    <w:rsid w:val="003D6650"/>
    <w:rsid w:val="003E5219"/>
    <w:rsid w:val="003E60A8"/>
    <w:rsid w:val="003E6F4D"/>
    <w:rsid w:val="003F06B9"/>
    <w:rsid w:val="003F6EC5"/>
    <w:rsid w:val="00400AFC"/>
    <w:rsid w:val="00401F25"/>
    <w:rsid w:val="00410424"/>
    <w:rsid w:val="00411469"/>
    <w:rsid w:val="00425525"/>
    <w:rsid w:val="004309D4"/>
    <w:rsid w:val="00431DCB"/>
    <w:rsid w:val="00436739"/>
    <w:rsid w:val="00440379"/>
    <w:rsid w:val="00443699"/>
    <w:rsid w:val="00443B36"/>
    <w:rsid w:val="004460D4"/>
    <w:rsid w:val="00446E85"/>
    <w:rsid w:val="00453ED2"/>
    <w:rsid w:val="00464C71"/>
    <w:rsid w:val="00467834"/>
    <w:rsid w:val="00475B85"/>
    <w:rsid w:val="00480A0E"/>
    <w:rsid w:val="00492956"/>
    <w:rsid w:val="004949FD"/>
    <w:rsid w:val="004950DB"/>
    <w:rsid w:val="004976B5"/>
    <w:rsid w:val="004A3C25"/>
    <w:rsid w:val="004A47E6"/>
    <w:rsid w:val="004B1410"/>
    <w:rsid w:val="004B1CB3"/>
    <w:rsid w:val="004C7D98"/>
    <w:rsid w:val="004D638E"/>
    <w:rsid w:val="004F2B6B"/>
    <w:rsid w:val="004F3F8F"/>
    <w:rsid w:val="005035E6"/>
    <w:rsid w:val="0051538A"/>
    <w:rsid w:val="00515576"/>
    <w:rsid w:val="005246FB"/>
    <w:rsid w:val="00524F33"/>
    <w:rsid w:val="005302A7"/>
    <w:rsid w:val="00530A1C"/>
    <w:rsid w:val="005318B1"/>
    <w:rsid w:val="00534CEC"/>
    <w:rsid w:val="00535FA0"/>
    <w:rsid w:val="00537C2B"/>
    <w:rsid w:val="00541C86"/>
    <w:rsid w:val="00546B2F"/>
    <w:rsid w:val="005520AF"/>
    <w:rsid w:val="00556C3E"/>
    <w:rsid w:val="00592A2E"/>
    <w:rsid w:val="00596934"/>
    <w:rsid w:val="005A797A"/>
    <w:rsid w:val="005B05A5"/>
    <w:rsid w:val="005B494E"/>
    <w:rsid w:val="005B7E3B"/>
    <w:rsid w:val="005C1405"/>
    <w:rsid w:val="005C7303"/>
    <w:rsid w:val="005D0417"/>
    <w:rsid w:val="005D063D"/>
    <w:rsid w:val="005D1931"/>
    <w:rsid w:val="005D1CDA"/>
    <w:rsid w:val="005D3ADA"/>
    <w:rsid w:val="005D7540"/>
    <w:rsid w:val="005E1565"/>
    <w:rsid w:val="005E4CFD"/>
    <w:rsid w:val="005F13AD"/>
    <w:rsid w:val="005F30AF"/>
    <w:rsid w:val="00602AFF"/>
    <w:rsid w:val="00602F9F"/>
    <w:rsid w:val="006103B7"/>
    <w:rsid w:val="006139FB"/>
    <w:rsid w:val="00614F19"/>
    <w:rsid w:val="00617A86"/>
    <w:rsid w:val="006262A0"/>
    <w:rsid w:val="00626429"/>
    <w:rsid w:val="006349BD"/>
    <w:rsid w:val="00636EC8"/>
    <w:rsid w:val="00641C51"/>
    <w:rsid w:val="006529AF"/>
    <w:rsid w:val="00661DE9"/>
    <w:rsid w:val="006652EA"/>
    <w:rsid w:val="0066592B"/>
    <w:rsid w:val="00665B61"/>
    <w:rsid w:val="0067261C"/>
    <w:rsid w:val="00672680"/>
    <w:rsid w:val="00674D03"/>
    <w:rsid w:val="0067749D"/>
    <w:rsid w:val="00691C2B"/>
    <w:rsid w:val="0069279C"/>
    <w:rsid w:val="0069413E"/>
    <w:rsid w:val="00694BF1"/>
    <w:rsid w:val="00694EA7"/>
    <w:rsid w:val="006A598C"/>
    <w:rsid w:val="006A6570"/>
    <w:rsid w:val="006A6806"/>
    <w:rsid w:val="006A689B"/>
    <w:rsid w:val="006B7967"/>
    <w:rsid w:val="006C6A24"/>
    <w:rsid w:val="006C6ACB"/>
    <w:rsid w:val="006D1BA8"/>
    <w:rsid w:val="006E0E0A"/>
    <w:rsid w:val="006E1E46"/>
    <w:rsid w:val="006E69D1"/>
    <w:rsid w:val="006F3F2C"/>
    <w:rsid w:val="00711645"/>
    <w:rsid w:val="00716CC7"/>
    <w:rsid w:val="007220DE"/>
    <w:rsid w:val="0072796B"/>
    <w:rsid w:val="0073069D"/>
    <w:rsid w:val="00730A8E"/>
    <w:rsid w:val="00746AA6"/>
    <w:rsid w:val="007474CD"/>
    <w:rsid w:val="00755829"/>
    <w:rsid w:val="007569BC"/>
    <w:rsid w:val="0076695B"/>
    <w:rsid w:val="00767041"/>
    <w:rsid w:val="00773551"/>
    <w:rsid w:val="007746C5"/>
    <w:rsid w:val="00780B05"/>
    <w:rsid w:val="00792FE3"/>
    <w:rsid w:val="00795936"/>
    <w:rsid w:val="007A0D4C"/>
    <w:rsid w:val="007A183E"/>
    <w:rsid w:val="007A7866"/>
    <w:rsid w:val="007B32E4"/>
    <w:rsid w:val="007B69F2"/>
    <w:rsid w:val="007C7582"/>
    <w:rsid w:val="007C759D"/>
    <w:rsid w:val="007D2618"/>
    <w:rsid w:val="007D51D4"/>
    <w:rsid w:val="007E0EFA"/>
    <w:rsid w:val="007F1A6B"/>
    <w:rsid w:val="007F344D"/>
    <w:rsid w:val="007F51CC"/>
    <w:rsid w:val="007F51DB"/>
    <w:rsid w:val="0080473C"/>
    <w:rsid w:val="008056C4"/>
    <w:rsid w:val="00806909"/>
    <w:rsid w:val="0081069F"/>
    <w:rsid w:val="0081265B"/>
    <w:rsid w:val="008131B8"/>
    <w:rsid w:val="00813FCA"/>
    <w:rsid w:val="00814A63"/>
    <w:rsid w:val="008150CE"/>
    <w:rsid w:val="00815401"/>
    <w:rsid w:val="0082250A"/>
    <w:rsid w:val="0082505D"/>
    <w:rsid w:val="008258C3"/>
    <w:rsid w:val="0082736D"/>
    <w:rsid w:val="00833442"/>
    <w:rsid w:val="00834AA6"/>
    <w:rsid w:val="008417D3"/>
    <w:rsid w:val="00841F3C"/>
    <w:rsid w:val="00844113"/>
    <w:rsid w:val="008571E6"/>
    <w:rsid w:val="00862186"/>
    <w:rsid w:val="00864A66"/>
    <w:rsid w:val="0086705E"/>
    <w:rsid w:val="0087076B"/>
    <w:rsid w:val="00874A63"/>
    <w:rsid w:val="00887082"/>
    <w:rsid w:val="00892E1E"/>
    <w:rsid w:val="008937A9"/>
    <w:rsid w:val="00893DA0"/>
    <w:rsid w:val="008960CB"/>
    <w:rsid w:val="008971BF"/>
    <w:rsid w:val="008B174A"/>
    <w:rsid w:val="008B5BB4"/>
    <w:rsid w:val="008B6551"/>
    <w:rsid w:val="008C4E28"/>
    <w:rsid w:val="008D0A21"/>
    <w:rsid w:val="008D11F3"/>
    <w:rsid w:val="008D63B3"/>
    <w:rsid w:val="008D6FC5"/>
    <w:rsid w:val="008E18AE"/>
    <w:rsid w:val="008E5624"/>
    <w:rsid w:val="008F14E5"/>
    <w:rsid w:val="008F37ED"/>
    <w:rsid w:val="008F7583"/>
    <w:rsid w:val="00901052"/>
    <w:rsid w:val="009021EB"/>
    <w:rsid w:val="009024C5"/>
    <w:rsid w:val="009220DA"/>
    <w:rsid w:val="00926120"/>
    <w:rsid w:val="00930677"/>
    <w:rsid w:val="00935AA9"/>
    <w:rsid w:val="00935B78"/>
    <w:rsid w:val="0094055E"/>
    <w:rsid w:val="00943AE5"/>
    <w:rsid w:val="009440C7"/>
    <w:rsid w:val="00957FA0"/>
    <w:rsid w:val="00960811"/>
    <w:rsid w:val="009624A7"/>
    <w:rsid w:val="009671CF"/>
    <w:rsid w:val="00976A3E"/>
    <w:rsid w:val="009913F2"/>
    <w:rsid w:val="00991D00"/>
    <w:rsid w:val="00993F7E"/>
    <w:rsid w:val="00994408"/>
    <w:rsid w:val="009972AF"/>
    <w:rsid w:val="009A47EE"/>
    <w:rsid w:val="009A56AB"/>
    <w:rsid w:val="009A7EB8"/>
    <w:rsid w:val="009B28CF"/>
    <w:rsid w:val="009B47AD"/>
    <w:rsid w:val="009B5D83"/>
    <w:rsid w:val="009B6C3E"/>
    <w:rsid w:val="009C7DA4"/>
    <w:rsid w:val="009D69D4"/>
    <w:rsid w:val="009E633C"/>
    <w:rsid w:val="009E7A68"/>
    <w:rsid w:val="009F2B40"/>
    <w:rsid w:val="009F4E74"/>
    <w:rsid w:val="009F52E7"/>
    <w:rsid w:val="00A0040D"/>
    <w:rsid w:val="00A07409"/>
    <w:rsid w:val="00A11252"/>
    <w:rsid w:val="00A148BC"/>
    <w:rsid w:val="00A20EA2"/>
    <w:rsid w:val="00A221E3"/>
    <w:rsid w:val="00A2481A"/>
    <w:rsid w:val="00A2668C"/>
    <w:rsid w:val="00A3166C"/>
    <w:rsid w:val="00A32DA4"/>
    <w:rsid w:val="00A33CAE"/>
    <w:rsid w:val="00A40721"/>
    <w:rsid w:val="00A40780"/>
    <w:rsid w:val="00A437B1"/>
    <w:rsid w:val="00A4555B"/>
    <w:rsid w:val="00A51CD5"/>
    <w:rsid w:val="00A54A1C"/>
    <w:rsid w:val="00A554ED"/>
    <w:rsid w:val="00A62C69"/>
    <w:rsid w:val="00A750F8"/>
    <w:rsid w:val="00A82B22"/>
    <w:rsid w:val="00A9069E"/>
    <w:rsid w:val="00A92C40"/>
    <w:rsid w:val="00A93E6D"/>
    <w:rsid w:val="00A93FFE"/>
    <w:rsid w:val="00A97196"/>
    <w:rsid w:val="00AA4533"/>
    <w:rsid w:val="00AA63C9"/>
    <w:rsid w:val="00AB1E01"/>
    <w:rsid w:val="00AB42B2"/>
    <w:rsid w:val="00AB5B8B"/>
    <w:rsid w:val="00AC47B3"/>
    <w:rsid w:val="00AC7B3F"/>
    <w:rsid w:val="00AC7CEB"/>
    <w:rsid w:val="00AE0BCF"/>
    <w:rsid w:val="00AE2619"/>
    <w:rsid w:val="00AE63CD"/>
    <w:rsid w:val="00AE6657"/>
    <w:rsid w:val="00AF1414"/>
    <w:rsid w:val="00AF5C3E"/>
    <w:rsid w:val="00B06875"/>
    <w:rsid w:val="00B12D41"/>
    <w:rsid w:val="00B136BE"/>
    <w:rsid w:val="00B16CA3"/>
    <w:rsid w:val="00B1744D"/>
    <w:rsid w:val="00B21569"/>
    <w:rsid w:val="00B277B3"/>
    <w:rsid w:val="00B42994"/>
    <w:rsid w:val="00B4568F"/>
    <w:rsid w:val="00B47985"/>
    <w:rsid w:val="00B5261C"/>
    <w:rsid w:val="00B629FD"/>
    <w:rsid w:val="00B661D1"/>
    <w:rsid w:val="00B730F9"/>
    <w:rsid w:val="00B8162A"/>
    <w:rsid w:val="00B83762"/>
    <w:rsid w:val="00B90200"/>
    <w:rsid w:val="00B90FED"/>
    <w:rsid w:val="00B91B56"/>
    <w:rsid w:val="00B96EE6"/>
    <w:rsid w:val="00BA50BA"/>
    <w:rsid w:val="00BB58B6"/>
    <w:rsid w:val="00BC022E"/>
    <w:rsid w:val="00BD029F"/>
    <w:rsid w:val="00BD0BF4"/>
    <w:rsid w:val="00BD5BCA"/>
    <w:rsid w:val="00BD5C2D"/>
    <w:rsid w:val="00BE6B75"/>
    <w:rsid w:val="00BF1684"/>
    <w:rsid w:val="00C049FD"/>
    <w:rsid w:val="00C067C5"/>
    <w:rsid w:val="00C108AF"/>
    <w:rsid w:val="00C14058"/>
    <w:rsid w:val="00C21FF8"/>
    <w:rsid w:val="00C23E95"/>
    <w:rsid w:val="00C3498C"/>
    <w:rsid w:val="00C34DEF"/>
    <w:rsid w:val="00C4696E"/>
    <w:rsid w:val="00C46BBF"/>
    <w:rsid w:val="00C5291E"/>
    <w:rsid w:val="00C54451"/>
    <w:rsid w:val="00C57B1D"/>
    <w:rsid w:val="00C60F30"/>
    <w:rsid w:val="00C6366A"/>
    <w:rsid w:val="00C6460B"/>
    <w:rsid w:val="00C7144A"/>
    <w:rsid w:val="00C717CD"/>
    <w:rsid w:val="00C7538D"/>
    <w:rsid w:val="00C759DF"/>
    <w:rsid w:val="00C82D02"/>
    <w:rsid w:val="00C87B5B"/>
    <w:rsid w:val="00C91B19"/>
    <w:rsid w:val="00C93CFA"/>
    <w:rsid w:val="00CA2285"/>
    <w:rsid w:val="00CA7EEC"/>
    <w:rsid w:val="00CB179E"/>
    <w:rsid w:val="00CD31CC"/>
    <w:rsid w:val="00CF3DB7"/>
    <w:rsid w:val="00CF7DC7"/>
    <w:rsid w:val="00D231D9"/>
    <w:rsid w:val="00D2735A"/>
    <w:rsid w:val="00D35769"/>
    <w:rsid w:val="00D4538C"/>
    <w:rsid w:val="00D50BB3"/>
    <w:rsid w:val="00D51F3A"/>
    <w:rsid w:val="00D76A3C"/>
    <w:rsid w:val="00D80C0C"/>
    <w:rsid w:val="00D81847"/>
    <w:rsid w:val="00D818E2"/>
    <w:rsid w:val="00D9154F"/>
    <w:rsid w:val="00D91E8B"/>
    <w:rsid w:val="00D9675E"/>
    <w:rsid w:val="00D967A3"/>
    <w:rsid w:val="00DA0BA7"/>
    <w:rsid w:val="00DA469A"/>
    <w:rsid w:val="00DA68AD"/>
    <w:rsid w:val="00DD4D3A"/>
    <w:rsid w:val="00DF0B48"/>
    <w:rsid w:val="00DF53C0"/>
    <w:rsid w:val="00E050AC"/>
    <w:rsid w:val="00E0539C"/>
    <w:rsid w:val="00E11F77"/>
    <w:rsid w:val="00E149CD"/>
    <w:rsid w:val="00E15830"/>
    <w:rsid w:val="00E178B0"/>
    <w:rsid w:val="00E241B0"/>
    <w:rsid w:val="00E4269C"/>
    <w:rsid w:val="00E43426"/>
    <w:rsid w:val="00E47669"/>
    <w:rsid w:val="00E55844"/>
    <w:rsid w:val="00E55E8F"/>
    <w:rsid w:val="00E62947"/>
    <w:rsid w:val="00E7015C"/>
    <w:rsid w:val="00E704C3"/>
    <w:rsid w:val="00E704E6"/>
    <w:rsid w:val="00E7199F"/>
    <w:rsid w:val="00E83B98"/>
    <w:rsid w:val="00E93D58"/>
    <w:rsid w:val="00E93E90"/>
    <w:rsid w:val="00E94173"/>
    <w:rsid w:val="00EC769B"/>
    <w:rsid w:val="00ED0573"/>
    <w:rsid w:val="00ED2A66"/>
    <w:rsid w:val="00ED70B4"/>
    <w:rsid w:val="00EF7464"/>
    <w:rsid w:val="00EF755C"/>
    <w:rsid w:val="00F01977"/>
    <w:rsid w:val="00F038E6"/>
    <w:rsid w:val="00F07538"/>
    <w:rsid w:val="00F11E6D"/>
    <w:rsid w:val="00F204A0"/>
    <w:rsid w:val="00F35B7F"/>
    <w:rsid w:val="00F41DD6"/>
    <w:rsid w:val="00F42196"/>
    <w:rsid w:val="00F435AB"/>
    <w:rsid w:val="00F44B8B"/>
    <w:rsid w:val="00F47F1C"/>
    <w:rsid w:val="00F47F80"/>
    <w:rsid w:val="00F52E58"/>
    <w:rsid w:val="00F54191"/>
    <w:rsid w:val="00F57A47"/>
    <w:rsid w:val="00F6362C"/>
    <w:rsid w:val="00F6612D"/>
    <w:rsid w:val="00F710F7"/>
    <w:rsid w:val="00F8052D"/>
    <w:rsid w:val="00F82E56"/>
    <w:rsid w:val="00FA05BC"/>
    <w:rsid w:val="00FA6713"/>
    <w:rsid w:val="00FB277C"/>
    <w:rsid w:val="00FB38C4"/>
    <w:rsid w:val="00FB54FF"/>
    <w:rsid w:val="00FB6B92"/>
    <w:rsid w:val="00FB78EF"/>
    <w:rsid w:val="00FC1EEA"/>
    <w:rsid w:val="00FD1507"/>
    <w:rsid w:val="00FD1992"/>
    <w:rsid w:val="00FD2F29"/>
    <w:rsid w:val="00FD4F7A"/>
    <w:rsid w:val="00FE0FD8"/>
    <w:rsid w:val="00FE22B1"/>
    <w:rsid w:val="00FE57CE"/>
    <w:rsid w:val="00FE6101"/>
    <w:rsid w:val="00FF4DD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D1457E63120168E427637A2E785ACFD3E0360359C855FCE5574F37BD23088D0D09E5B22912DA70gCI6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BBF9B2578C93478AA50F45EE3F5A57B89CAF1C1C616890908AC510FE2BEBCA0DAFFE94B1B6DA4FU426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D1457E63120168E427637A2E785ACFD2E93C0C58C055FCE5574F37BD23088D0D09E5B22912D976gCI9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DD1457E63120168E427637A2E785ACFD2E93C0C58C055FCE5574F37BD23088D0D09E5B22912D976gCI9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DD1457E63120168E4277D77381404C4D7EB6B0855C85EA9B908146AEA2A02DAg4I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7314-3F45-4074-9FCA-D9ACFB1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32</Pages>
  <Words>8266</Words>
  <Characters>47120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Ермолаева Наталья Витальевна</cp:lastModifiedBy>
  <cp:revision>44</cp:revision>
  <cp:lastPrinted>2021-11-03T07:07:00Z</cp:lastPrinted>
  <dcterms:created xsi:type="dcterms:W3CDTF">2020-04-29T05:55:00Z</dcterms:created>
  <dcterms:modified xsi:type="dcterms:W3CDTF">2021-11-30T13:10:00Z</dcterms:modified>
</cp:coreProperties>
</file>