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957953" w:rsidRPr="00ED46AF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80"/>
            </w:tblGrid>
            <w:tr w:rsidR="002A2E1B" w:rsidRPr="00ED46AF" w:rsidTr="001A3C9F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ED46AF" w:rsidRDefault="002A2E1B" w:rsidP="001A3C9F">
                  <w:pPr>
                    <w:pStyle w:val="1"/>
                    <w:framePr w:hSpace="180" w:wrap="around" w:vAnchor="page" w:hAnchor="margin" w:y="109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D46AF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2A2E1B" w:rsidRPr="00ED46AF" w:rsidTr="001A3C9F">
              <w:trPr>
                <w:trHeight w:val="208"/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ED46AF" w:rsidRDefault="002A2E1B" w:rsidP="001A3C9F">
                  <w:pPr>
                    <w:pStyle w:val="3"/>
                    <w:framePr w:hSpace="180" w:wrap="around" w:vAnchor="page" w:hAnchor="margin" w:y="10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6AF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Муниципальное образование город </w:t>
                  </w:r>
                  <w:proofErr w:type="spellStart"/>
                  <w:r w:rsidRPr="00ED46AF">
                    <w:rPr>
                      <w:rFonts w:ascii="Arial" w:hAnsi="Arial" w:cs="Arial"/>
                      <w:sz w:val="24"/>
                      <w:szCs w:val="24"/>
                    </w:rPr>
                    <w:t>Кимовск</w:t>
                  </w:r>
                  <w:proofErr w:type="spellEnd"/>
                  <w:r w:rsidRPr="00ED46A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46AF">
                    <w:rPr>
                      <w:rFonts w:ascii="Arial" w:hAnsi="Arial" w:cs="Arial"/>
                      <w:sz w:val="24"/>
                      <w:szCs w:val="24"/>
                    </w:rPr>
                    <w:t>Кимовского</w:t>
                  </w:r>
                  <w:proofErr w:type="spellEnd"/>
                  <w:r w:rsidRPr="00ED46AF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A2E1B" w:rsidRPr="00ED46AF" w:rsidTr="001A3C9F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ED46AF" w:rsidRDefault="002A2E1B" w:rsidP="001A3C9F">
                  <w:pPr>
                    <w:pStyle w:val="1"/>
                    <w:framePr w:hSpace="180" w:wrap="around" w:vAnchor="page" w:hAnchor="margin" w:y="109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D46A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2A2E1B" w:rsidRPr="00ED46AF" w:rsidRDefault="002A2E1B" w:rsidP="001A3C9F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</w:rPr>
                  </w:pPr>
                  <w:r w:rsidRPr="00ED46AF">
                    <w:rPr>
                      <w:rFonts w:ascii="Arial" w:hAnsi="Arial" w:cs="Arial"/>
                      <w:b/>
                    </w:rPr>
                    <w:t>3-го созыва</w:t>
                  </w:r>
                </w:p>
                <w:p w:rsidR="002A2E1B" w:rsidRPr="00ED46AF" w:rsidRDefault="002A2E1B" w:rsidP="001A3C9F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2A2E1B" w:rsidRPr="00ED46AF" w:rsidRDefault="002A2E1B" w:rsidP="002A2E1B">
            <w:pPr>
              <w:jc w:val="center"/>
              <w:rPr>
                <w:b/>
              </w:rPr>
            </w:pPr>
            <w:r w:rsidRPr="00ED46AF">
              <w:rPr>
                <w:b/>
              </w:rPr>
              <w:t>РЕШЕНИЕ</w:t>
            </w:r>
          </w:p>
          <w:p w:rsidR="00957953" w:rsidRPr="00ED46AF" w:rsidRDefault="00957953" w:rsidP="002147D1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953" w:rsidRPr="00ED46AF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ED46AF" w:rsidRDefault="00957953" w:rsidP="002147D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953" w:rsidRPr="00ED46AF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ED46AF" w:rsidRDefault="00957953" w:rsidP="002147D1">
            <w:pPr>
              <w:jc w:val="center"/>
              <w:rPr>
                <w:rFonts w:ascii="Arial" w:hAnsi="Arial" w:cs="Arial"/>
              </w:rPr>
            </w:pPr>
          </w:p>
        </w:tc>
      </w:tr>
      <w:tr w:rsidR="00957953" w:rsidRPr="00ED46AF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ED46AF" w:rsidRDefault="00957953" w:rsidP="002147D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953" w:rsidRPr="00ED46AF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ED46AF" w:rsidRDefault="00957953" w:rsidP="002147D1">
            <w:pPr>
              <w:jc w:val="center"/>
              <w:rPr>
                <w:rFonts w:ascii="Arial" w:hAnsi="Arial" w:cs="Arial"/>
              </w:rPr>
            </w:pPr>
          </w:p>
        </w:tc>
      </w:tr>
      <w:tr w:rsidR="005D5E4E" w:rsidRPr="00ED46AF" w:rsidTr="00946F4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5D5E4E" w:rsidRPr="00ED46AF" w:rsidRDefault="005D5E4E" w:rsidP="005D5E4E">
            <w:pPr>
              <w:jc w:val="center"/>
              <w:rPr>
                <w:rFonts w:ascii="Arial" w:hAnsi="Arial" w:cs="Arial"/>
                <w:b/>
              </w:rPr>
            </w:pPr>
          </w:p>
          <w:p w:rsidR="005D5E4E" w:rsidRPr="00ED46AF" w:rsidRDefault="003A35F8" w:rsidP="005D5E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28223B">
              <w:rPr>
                <w:rFonts w:ascii="Arial" w:hAnsi="Arial" w:cs="Arial"/>
                <w:b/>
              </w:rPr>
              <w:t>15.05.2014</w:t>
            </w:r>
            <w:r w:rsidR="00E976FE">
              <w:rPr>
                <w:rFonts w:ascii="Arial" w:hAnsi="Arial" w:cs="Arial"/>
                <w:b/>
              </w:rPr>
              <w:t xml:space="preserve">       </w:t>
            </w:r>
            <w:r w:rsidR="0028223B">
              <w:rPr>
                <w:rFonts w:ascii="Arial" w:hAnsi="Arial" w:cs="Arial"/>
                <w:b/>
              </w:rPr>
              <w:t xml:space="preserve">  </w:t>
            </w:r>
            <w:r w:rsidR="005D5E4E">
              <w:rPr>
                <w:rFonts w:ascii="Arial" w:hAnsi="Arial" w:cs="Arial"/>
                <w:b/>
              </w:rPr>
              <w:t xml:space="preserve"> №</w:t>
            </w:r>
            <w:r w:rsidR="0028223B">
              <w:rPr>
                <w:rFonts w:ascii="Arial" w:hAnsi="Arial" w:cs="Arial"/>
                <w:b/>
              </w:rPr>
              <w:t>15-47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5D5E4E" w:rsidRPr="00ED46AF" w:rsidRDefault="005D5E4E" w:rsidP="005D5E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7953" w:rsidRPr="00ED46AF" w:rsidTr="002147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57953" w:rsidRPr="00ED46AF" w:rsidRDefault="00957953" w:rsidP="002147D1">
            <w:pPr>
              <w:jc w:val="center"/>
              <w:rPr>
                <w:rFonts w:ascii="Arial" w:hAnsi="Arial" w:cs="Arial"/>
                <w:b/>
              </w:rPr>
            </w:pPr>
          </w:p>
          <w:p w:rsidR="00A134B1" w:rsidRPr="00ED46AF" w:rsidRDefault="00A134B1" w:rsidP="00A13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57953" w:rsidRPr="00ED46AF" w:rsidRDefault="00957953" w:rsidP="002147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0048" w:rsidRPr="00ED46AF" w:rsidRDefault="00F70048" w:rsidP="003A35F8">
      <w:pPr>
        <w:jc w:val="right"/>
        <w:rPr>
          <w:b/>
        </w:rPr>
      </w:pPr>
    </w:p>
    <w:p w:rsidR="00957953" w:rsidRPr="00ED46AF" w:rsidRDefault="00957953" w:rsidP="005C6EC9">
      <w:pPr>
        <w:jc w:val="center"/>
        <w:rPr>
          <w:b/>
        </w:rPr>
      </w:pPr>
    </w:p>
    <w:p w:rsidR="00ED46AF" w:rsidRPr="00ED46AF" w:rsidRDefault="00ED46AF" w:rsidP="00ED46AF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b/>
        </w:rPr>
      </w:pPr>
      <w:r w:rsidRPr="00ED46AF">
        <w:rPr>
          <w:b/>
        </w:rPr>
        <w:t xml:space="preserve">О внесении изменений в Устав муниципального образования город </w:t>
      </w:r>
      <w:proofErr w:type="spellStart"/>
      <w:r w:rsidRPr="00ED46AF">
        <w:rPr>
          <w:b/>
        </w:rPr>
        <w:t>Кимовск</w:t>
      </w:r>
      <w:proofErr w:type="spellEnd"/>
      <w:r w:rsidRPr="00ED46AF">
        <w:rPr>
          <w:b/>
        </w:rPr>
        <w:t xml:space="preserve"> </w:t>
      </w:r>
      <w:proofErr w:type="spellStart"/>
      <w:r w:rsidRPr="00ED46AF">
        <w:rPr>
          <w:b/>
        </w:rPr>
        <w:t>Кимовского</w:t>
      </w:r>
      <w:proofErr w:type="spellEnd"/>
      <w:r w:rsidRPr="00ED46AF">
        <w:rPr>
          <w:b/>
        </w:rPr>
        <w:t xml:space="preserve"> района</w:t>
      </w:r>
    </w:p>
    <w:p w:rsidR="00ED46AF" w:rsidRPr="00ED46AF" w:rsidRDefault="00ED46AF" w:rsidP="00ED46AF">
      <w:pPr>
        <w:autoSpaceDE w:val="0"/>
        <w:autoSpaceDN w:val="0"/>
        <w:adjustRightInd w:val="0"/>
        <w:jc w:val="center"/>
        <w:rPr>
          <w:b/>
        </w:rPr>
      </w:pPr>
    </w:p>
    <w:p w:rsidR="00ED46AF" w:rsidRDefault="00ED46AF" w:rsidP="00ED46AF">
      <w:pPr>
        <w:ind w:firstLine="709"/>
        <w:jc w:val="both"/>
      </w:pPr>
    </w:p>
    <w:p w:rsidR="00F5678C" w:rsidRDefault="00F5678C" w:rsidP="00F5678C">
      <w:pPr>
        <w:ind w:firstLine="709"/>
        <w:jc w:val="both"/>
      </w:pP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 и учитывая результаты проведения публичных слушаний, Собрание депутатов муниципального образования город </w:t>
      </w:r>
      <w:proofErr w:type="spellStart"/>
      <w:r>
        <w:t>Кимовск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 РЕШИЛО: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1. Внести в Устав муниципального образования город </w:t>
      </w:r>
      <w:proofErr w:type="spellStart"/>
      <w:r>
        <w:t>Кимовск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 следующие изменения: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1) в части 1 статьи 7: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а) дополнить пунктом 8.1 следующего содержания: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cs="Arial"/>
        </w:rPr>
        <w:t xml:space="preserve">город </w:t>
      </w:r>
      <w:proofErr w:type="spellStart"/>
      <w:r>
        <w:rPr>
          <w:rFonts w:cs="Arial"/>
        </w:rPr>
        <w:t>Кимовск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Кимовского</w:t>
      </w:r>
      <w:proofErr w:type="spellEnd"/>
      <w:r>
        <w:rPr>
          <w:rFonts w:cs="Arial"/>
        </w:rPr>
        <w:t xml:space="preserve"> района</w:t>
      </w:r>
      <w:r>
        <w:t>, социальной и культурной адаптации мигрантов, профилактику межнациональных (межэтнических) конфликтов</w:t>
      </w:r>
      <w:proofErr w:type="gramStart"/>
      <w:r>
        <w:t>;»</w:t>
      </w:r>
      <w:proofErr w:type="gramEnd"/>
      <w:r>
        <w:t>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б) пункт 36 признать утратившим силу;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2) в статье 9: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а) пункт 3 части 1 изложить в следующей редакции: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>
        <w:t>;»</w:t>
      </w:r>
      <w:proofErr w:type="gramEnd"/>
      <w:r>
        <w:t>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б) пункт10 части 1 изложить в следующей редакции: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«10) организация профессионального образования и дополнительного профессионального образования главы муниципального образования, депутатов Собрания депутатов муниципального образования,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в) </w:t>
      </w:r>
      <w:r>
        <w:rPr>
          <w:rFonts w:cs="Arial"/>
        </w:rPr>
        <w:t>абзацы 1 и 2 части 2 после слов «части полномочий» дополнить словами «по решению вопросов местного значения»;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3) часть 1 статьи 26 изложить в следующей редакции: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lastRenderedPageBreak/>
        <w:t>«1.Собрание депутатов муниципального образования состоит из 20 депутатов, избираемых на муниципальных выборах. Срок полномочий Собрания депутатов муниципального образования составляет 5 лет.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Выборы депутатов Собрания депутатов муниципального образования проводятся по избирательной системе, при которой образуются </w:t>
      </w:r>
      <w:proofErr w:type="spellStart"/>
      <w:r>
        <w:t>многомандатные</w:t>
      </w:r>
      <w:proofErr w:type="spellEnd"/>
      <w:r>
        <w:t xml:space="preserve"> избирательные округа, в которых избранными признаются зарегистрированные кандидаты в </w:t>
      </w:r>
      <w:proofErr w:type="gramStart"/>
      <w:r>
        <w:t>количестве</w:t>
      </w:r>
      <w:proofErr w:type="gramEnd"/>
      <w:r>
        <w:t xml:space="preserve"> не превышающем число депутатских мандатов, подлежащих распределению в соответствующем избирательном округе, получившие большие число голосов избирателей, принявших участие в голосовании, по отношению к другим зарегистрированным по соответствующему избирательному округу кандидатам.»;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4) в статье 28: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а) часть 1 дополнить пунктом 3.1 следующего содержания: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«3.1) принятие планов и программ развития муниципального образования, утверждение отчетов об их исполнении</w:t>
      </w:r>
      <w:proofErr w:type="gramStart"/>
      <w:r>
        <w:t>;»</w:t>
      </w:r>
      <w:proofErr w:type="gramEnd"/>
      <w:r>
        <w:t>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б) пункт 2 части 2 изложить в следующей редакции: 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«2) принятие решений о назначении местного референдума и муниципальных выборов в соответствии с действующим законодательством</w:t>
      </w:r>
      <w:proofErr w:type="gramStart"/>
      <w:r>
        <w:t>;»</w:t>
      </w:r>
      <w:proofErr w:type="gramEnd"/>
      <w:r>
        <w:t>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в) пункт 4 части 2 признать утратившим силу;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г) в пункте 12 части 2 слово «</w:t>
      </w:r>
      <w:r>
        <w:rPr>
          <w:rFonts w:cs="Arial"/>
        </w:rPr>
        <w:t>контрольного</w:t>
      </w:r>
      <w:r>
        <w:t>» заменить словами «контрольно-счетного»;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proofErr w:type="spellStart"/>
      <w:r>
        <w:t>д</w:t>
      </w:r>
      <w:proofErr w:type="spellEnd"/>
      <w:r>
        <w:t>) в пункте 14 части 2 после слова «резервирование» дополнить словом «земель»;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5) части 6, 10 статьи 32 исключить;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6) часть 6 статьи 41 изложить в следующей редакции: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«6. Полномочия избирательной комиссии муниципального город </w:t>
      </w:r>
      <w:proofErr w:type="spellStart"/>
      <w:r>
        <w:t>Кимовск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 образования по решению избирательной комиссии Тульской области, принятому на основании обращения Собрания депутатов муниципального образования, могут возлагаться на территориальную комиссию </w:t>
      </w:r>
      <w:proofErr w:type="spellStart"/>
      <w:r>
        <w:t>Кимовского</w:t>
      </w:r>
      <w:proofErr w:type="spellEnd"/>
      <w:r>
        <w:t xml:space="preserve"> района или на участковую комиссию, действующую в границах муниципального образования город </w:t>
      </w:r>
      <w:proofErr w:type="spellStart"/>
      <w:r>
        <w:t>Кимовск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</w:t>
      </w:r>
      <w:proofErr w:type="gramStart"/>
      <w:r>
        <w:t>.».</w:t>
      </w:r>
      <w:proofErr w:type="gramEnd"/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7) статью 45 дополнить частями 12, 13 следующего содержания: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«12.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Тульской области.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13.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Тульской области.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>
        <w:t>.»;</w:t>
      </w:r>
      <w:proofErr w:type="gramEnd"/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8) часть 1 статьи 47 дополнить абзацем следующего содержания: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proofErr w:type="gramStart"/>
      <w: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t xml:space="preserve"> Об исполнении полученного предписания администрация </w:t>
      </w:r>
      <w:r>
        <w:lastRenderedPageBreak/>
        <w:t>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Собрание депутатов муниципального образования - не позднее трех дней со дня принятия ими решения</w:t>
      </w:r>
      <w:proofErr w:type="gramStart"/>
      <w:r>
        <w:t>.»;</w:t>
      </w:r>
      <w:proofErr w:type="gramEnd"/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9) часть 4 статьи 54 изложить в следующей редакции: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 xml:space="preserve">«4. </w:t>
      </w:r>
      <w:proofErr w:type="gramStart"/>
      <w:r>
        <w:t>Субвенции на осуществление органами местного самоуправления переданных им отдельных государственных полномочий предоставляются местному бюджету из бюджета Тульской области.»;</w:t>
      </w:r>
      <w:proofErr w:type="gramEnd"/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10) статью 58 изложить в следующей редакции: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«Статья 58. Закупки для обеспечения муниципальных нужд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1.Закупки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2.Закупки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t>.»;</w:t>
      </w:r>
      <w:proofErr w:type="gramEnd"/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11) часть 2 статьи 63 дополнить пунктом 5 следующего содержания: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proofErr w:type="gramStart"/>
      <w:r>
        <w:t>«5) допущение главой муниципального образования, администрацией муниципального образования,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t xml:space="preserve">.»; </w:t>
      </w:r>
      <w:proofErr w:type="gramEnd"/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12) в статье 66: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а) в наименовании статьи после слов «</w:t>
      </w:r>
      <w:r>
        <w:rPr>
          <w:bCs/>
        </w:rPr>
        <w:t>Вступление в силу</w:t>
      </w:r>
      <w:r>
        <w:t>» дополнить словами «и применение»;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б) дополнить абзацем 5 следующего содержания: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«Части 12 и 13 статьи 45 применяются  с 01.01.2017 г.».</w:t>
      </w:r>
    </w:p>
    <w:p w:rsidR="005109E2" w:rsidRDefault="005109E2" w:rsidP="005109E2">
      <w:pPr>
        <w:autoSpaceDE w:val="0"/>
        <w:autoSpaceDN w:val="0"/>
        <w:adjustRightInd w:val="0"/>
        <w:ind w:firstLine="567"/>
        <w:jc w:val="both"/>
      </w:pPr>
      <w: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5109E2" w:rsidRDefault="005109E2" w:rsidP="005109E2">
      <w:pPr>
        <w:ind w:firstLine="567"/>
        <w:jc w:val="both"/>
      </w:pPr>
      <w:r>
        <w:t xml:space="preserve">3. Решение подлежит официальному опубликованию в газете «Районные будни. </w:t>
      </w:r>
      <w:proofErr w:type="spellStart"/>
      <w:r>
        <w:t>Кимовский</w:t>
      </w:r>
      <w:proofErr w:type="spellEnd"/>
      <w:r>
        <w:t xml:space="preserve"> район» после его государственной регистрации и вступает в силу со дня официального опубликования.</w:t>
      </w:r>
    </w:p>
    <w:p w:rsidR="005109E2" w:rsidRDefault="005109E2" w:rsidP="005109E2">
      <w:pPr>
        <w:ind w:firstLine="709"/>
        <w:jc w:val="both"/>
      </w:pPr>
    </w:p>
    <w:p w:rsidR="005109E2" w:rsidRDefault="005109E2" w:rsidP="00F5678C">
      <w:pPr>
        <w:ind w:firstLine="709"/>
        <w:jc w:val="both"/>
      </w:pPr>
    </w:p>
    <w:p w:rsidR="005109E2" w:rsidRDefault="005109E2" w:rsidP="00F5678C">
      <w:pPr>
        <w:ind w:firstLine="709"/>
        <w:jc w:val="both"/>
      </w:pPr>
    </w:p>
    <w:p w:rsidR="005109E2" w:rsidRDefault="005109E2" w:rsidP="00F5678C">
      <w:pPr>
        <w:ind w:firstLine="709"/>
        <w:jc w:val="both"/>
      </w:pPr>
    </w:p>
    <w:p w:rsidR="005109E2" w:rsidRDefault="005109E2" w:rsidP="00F5678C">
      <w:pPr>
        <w:ind w:firstLine="709"/>
        <w:jc w:val="both"/>
      </w:pPr>
    </w:p>
    <w:p w:rsidR="005109E2" w:rsidRPr="00ED46AF" w:rsidRDefault="005109E2" w:rsidP="00F5678C">
      <w:pPr>
        <w:ind w:firstLine="709"/>
        <w:jc w:val="both"/>
      </w:pPr>
    </w:p>
    <w:tbl>
      <w:tblPr>
        <w:tblW w:w="0" w:type="auto"/>
        <w:tblLook w:val="04A0"/>
      </w:tblPr>
      <w:tblGrid>
        <w:gridCol w:w="4361"/>
        <w:gridCol w:w="5209"/>
      </w:tblGrid>
      <w:tr w:rsidR="00F5678C" w:rsidRPr="00ED46AF" w:rsidTr="003C2AD1">
        <w:tc>
          <w:tcPr>
            <w:tcW w:w="4361" w:type="dxa"/>
            <w:hideMark/>
          </w:tcPr>
          <w:p w:rsidR="00F5678C" w:rsidRPr="00ED46AF" w:rsidRDefault="00F5678C" w:rsidP="003C2AD1">
            <w:pPr>
              <w:rPr>
                <w:b/>
              </w:rPr>
            </w:pPr>
            <w:r w:rsidRPr="00ED46AF">
              <w:rPr>
                <w:b/>
              </w:rPr>
              <w:t xml:space="preserve">                             </w:t>
            </w:r>
          </w:p>
          <w:p w:rsidR="00F5678C" w:rsidRPr="00ED46AF" w:rsidRDefault="00F5678C" w:rsidP="003C2AD1">
            <w:pPr>
              <w:rPr>
                <w:b/>
              </w:rPr>
            </w:pPr>
            <w:r w:rsidRPr="00ED46AF">
              <w:rPr>
                <w:b/>
              </w:rPr>
              <w:t xml:space="preserve">                         Глава</w:t>
            </w:r>
          </w:p>
          <w:p w:rsidR="00F5678C" w:rsidRPr="00ED46AF" w:rsidRDefault="00F5678C" w:rsidP="003C2AD1">
            <w:pPr>
              <w:jc w:val="center"/>
              <w:rPr>
                <w:b/>
              </w:rPr>
            </w:pPr>
            <w:r w:rsidRPr="00ED46AF">
              <w:rPr>
                <w:b/>
              </w:rPr>
              <w:t xml:space="preserve">муниципального образования город </w:t>
            </w:r>
            <w:proofErr w:type="spellStart"/>
            <w:r w:rsidRPr="00ED46AF">
              <w:rPr>
                <w:b/>
              </w:rPr>
              <w:t>Кимовск</w:t>
            </w:r>
            <w:proofErr w:type="spellEnd"/>
            <w:r w:rsidRPr="00ED46AF">
              <w:rPr>
                <w:b/>
              </w:rPr>
              <w:t xml:space="preserve"> </w:t>
            </w:r>
            <w:proofErr w:type="spellStart"/>
            <w:r w:rsidRPr="00ED46AF">
              <w:rPr>
                <w:b/>
              </w:rPr>
              <w:t>Кимовского</w:t>
            </w:r>
            <w:proofErr w:type="spellEnd"/>
            <w:r w:rsidRPr="00ED46AF">
              <w:rPr>
                <w:b/>
              </w:rPr>
              <w:t xml:space="preserve"> района</w:t>
            </w:r>
          </w:p>
        </w:tc>
        <w:tc>
          <w:tcPr>
            <w:tcW w:w="5209" w:type="dxa"/>
            <w:vAlign w:val="center"/>
            <w:hideMark/>
          </w:tcPr>
          <w:p w:rsidR="00F5678C" w:rsidRPr="00ED46AF" w:rsidRDefault="00F5678C" w:rsidP="003C2AD1">
            <w:pPr>
              <w:jc w:val="right"/>
              <w:rPr>
                <w:b/>
              </w:rPr>
            </w:pPr>
            <w:r w:rsidRPr="00ED46AF">
              <w:rPr>
                <w:b/>
              </w:rPr>
              <w:t xml:space="preserve"> В.А. Викторов</w:t>
            </w:r>
          </w:p>
        </w:tc>
      </w:tr>
    </w:tbl>
    <w:p w:rsidR="00F5678C" w:rsidRPr="00ED46AF" w:rsidRDefault="00F5678C" w:rsidP="00F5678C">
      <w:pPr>
        <w:autoSpaceDE w:val="0"/>
        <w:autoSpaceDN w:val="0"/>
        <w:adjustRightInd w:val="0"/>
        <w:ind w:firstLine="709"/>
        <w:jc w:val="both"/>
      </w:pPr>
    </w:p>
    <w:p w:rsidR="00F5678C" w:rsidRPr="00ED46AF" w:rsidRDefault="00F5678C" w:rsidP="00F5678C">
      <w:pPr>
        <w:autoSpaceDE w:val="0"/>
        <w:autoSpaceDN w:val="0"/>
        <w:adjustRightInd w:val="0"/>
        <w:ind w:firstLine="540"/>
        <w:jc w:val="both"/>
      </w:pPr>
    </w:p>
    <w:p w:rsidR="00F5678C" w:rsidRPr="00ED46AF" w:rsidRDefault="00F5678C" w:rsidP="00F5678C">
      <w:pPr>
        <w:autoSpaceDE w:val="0"/>
        <w:autoSpaceDN w:val="0"/>
        <w:adjustRightInd w:val="0"/>
        <w:ind w:firstLine="540"/>
        <w:jc w:val="both"/>
      </w:pPr>
    </w:p>
    <w:sectPr w:rsidR="00F5678C" w:rsidRPr="00ED46AF" w:rsidSect="002147D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5C7"/>
    <w:multiLevelType w:val="hybridMultilevel"/>
    <w:tmpl w:val="F54E34C0"/>
    <w:lvl w:ilvl="0" w:tplc="442CB890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457CC"/>
    <w:multiLevelType w:val="hybridMultilevel"/>
    <w:tmpl w:val="19A2BCB0"/>
    <w:lvl w:ilvl="0" w:tplc="5870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448B2"/>
    <w:rsid w:val="00001B54"/>
    <w:rsid w:val="00001EAD"/>
    <w:rsid w:val="00005151"/>
    <w:rsid w:val="000060CD"/>
    <w:rsid w:val="0002535C"/>
    <w:rsid w:val="000276A9"/>
    <w:rsid w:val="00035BD7"/>
    <w:rsid w:val="000366F9"/>
    <w:rsid w:val="00042CA7"/>
    <w:rsid w:val="000448B2"/>
    <w:rsid w:val="000678ED"/>
    <w:rsid w:val="000770CE"/>
    <w:rsid w:val="000838B3"/>
    <w:rsid w:val="0008610C"/>
    <w:rsid w:val="00096497"/>
    <w:rsid w:val="000B0F5D"/>
    <w:rsid w:val="000C0AED"/>
    <w:rsid w:val="000D62DD"/>
    <w:rsid w:val="000E6FAC"/>
    <w:rsid w:val="0010288D"/>
    <w:rsid w:val="001065DB"/>
    <w:rsid w:val="00126D4D"/>
    <w:rsid w:val="00136E1E"/>
    <w:rsid w:val="00146C41"/>
    <w:rsid w:val="001734FA"/>
    <w:rsid w:val="00183795"/>
    <w:rsid w:val="001A2F27"/>
    <w:rsid w:val="001A3C9F"/>
    <w:rsid w:val="002139C9"/>
    <w:rsid w:val="002147D1"/>
    <w:rsid w:val="00215DFB"/>
    <w:rsid w:val="002435EF"/>
    <w:rsid w:val="00245289"/>
    <w:rsid w:val="00253E0E"/>
    <w:rsid w:val="0027714F"/>
    <w:rsid w:val="0028223B"/>
    <w:rsid w:val="002876E6"/>
    <w:rsid w:val="00293565"/>
    <w:rsid w:val="0029452E"/>
    <w:rsid w:val="002A2E1B"/>
    <w:rsid w:val="002B1FDA"/>
    <w:rsid w:val="002B7C94"/>
    <w:rsid w:val="002C797E"/>
    <w:rsid w:val="00326226"/>
    <w:rsid w:val="0033280F"/>
    <w:rsid w:val="00363170"/>
    <w:rsid w:val="00370293"/>
    <w:rsid w:val="00372740"/>
    <w:rsid w:val="00375851"/>
    <w:rsid w:val="00376587"/>
    <w:rsid w:val="00381BDA"/>
    <w:rsid w:val="003878D8"/>
    <w:rsid w:val="00391A86"/>
    <w:rsid w:val="00395B8D"/>
    <w:rsid w:val="003A35F8"/>
    <w:rsid w:val="003C2AD1"/>
    <w:rsid w:val="003D1C2C"/>
    <w:rsid w:val="003E400E"/>
    <w:rsid w:val="004012C3"/>
    <w:rsid w:val="004612A0"/>
    <w:rsid w:val="00462106"/>
    <w:rsid w:val="00464F9F"/>
    <w:rsid w:val="00470A1F"/>
    <w:rsid w:val="004717AD"/>
    <w:rsid w:val="00475921"/>
    <w:rsid w:val="004800EA"/>
    <w:rsid w:val="004907E6"/>
    <w:rsid w:val="004A1775"/>
    <w:rsid w:val="004A4C8A"/>
    <w:rsid w:val="004B62DD"/>
    <w:rsid w:val="004D4766"/>
    <w:rsid w:val="004F647B"/>
    <w:rsid w:val="005109E2"/>
    <w:rsid w:val="00511837"/>
    <w:rsid w:val="00512834"/>
    <w:rsid w:val="0052762C"/>
    <w:rsid w:val="005310CB"/>
    <w:rsid w:val="0053722D"/>
    <w:rsid w:val="00540EFE"/>
    <w:rsid w:val="00543270"/>
    <w:rsid w:val="0055339E"/>
    <w:rsid w:val="005563C6"/>
    <w:rsid w:val="00560198"/>
    <w:rsid w:val="0058206C"/>
    <w:rsid w:val="005825C8"/>
    <w:rsid w:val="005825EA"/>
    <w:rsid w:val="005A7D12"/>
    <w:rsid w:val="005B0DC7"/>
    <w:rsid w:val="005B5521"/>
    <w:rsid w:val="005C20BF"/>
    <w:rsid w:val="005C4F0D"/>
    <w:rsid w:val="005C6EC9"/>
    <w:rsid w:val="005D5E4E"/>
    <w:rsid w:val="005F1F62"/>
    <w:rsid w:val="005F6B4E"/>
    <w:rsid w:val="00621BCD"/>
    <w:rsid w:val="0063638E"/>
    <w:rsid w:val="00641CBD"/>
    <w:rsid w:val="00650776"/>
    <w:rsid w:val="00656C94"/>
    <w:rsid w:val="006612AB"/>
    <w:rsid w:val="0067596B"/>
    <w:rsid w:val="006B38A4"/>
    <w:rsid w:val="006B6A52"/>
    <w:rsid w:val="006E5EAB"/>
    <w:rsid w:val="006F150B"/>
    <w:rsid w:val="006F4076"/>
    <w:rsid w:val="00717ECD"/>
    <w:rsid w:val="00723BF2"/>
    <w:rsid w:val="00726B45"/>
    <w:rsid w:val="007A63BB"/>
    <w:rsid w:val="007C2823"/>
    <w:rsid w:val="007C3A55"/>
    <w:rsid w:val="007C4A50"/>
    <w:rsid w:val="007F1D12"/>
    <w:rsid w:val="008009B4"/>
    <w:rsid w:val="008073EF"/>
    <w:rsid w:val="00807DE5"/>
    <w:rsid w:val="00816851"/>
    <w:rsid w:val="00820567"/>
    <w:rsid w:val="00821979"/>
    <w:rsid w:val="0082225E"/>
    <w:rsid w:val="00862859"/>
    <w:rsid w:val="00892607"/>
    <w:rsid w:val="008A2D45"/>
    <w:rsid w:val="008E741F"/>
    <w:rsid w:val="008F6FCF"/>
    <w:rsid w:val="00901AB6"/>
    <w:rsid w:val="00902058"/>
    <w:rsid w:val="00912B16"/>
    <w:rsid w:val="009226A3"/>
    <w:rsid w:val="00922823"/>
    <w:rsid w:val="00927C6D"/>
    <w:rsid w:val="00930719"/>
    <w:rsid w:val="00946F40"/>
    <w:rsid w:val="0095191B"/>
    <w:rsid w:val="00955AEC"/>
    <w:rsid w:val="00957953"/>
    <w:rsid w:val="00957FCB"/>
    <w:rsid w:val="00973658"/>
    <w:rsid w:val="00984D61"/>
    <w:rsid w:val="00991464"/>
    <w:rsid w:val="00993DBC"/>
    <w:rsid w:val="00994660"/>
    <w:rsid w:val="009A087E"/>
    <w:rsid w:val="009C3A16"/>
    <w:rsid w:val="009C479F"/>
    <w:rsid w:val="009D00C1"/>
    <w:rsid w:val="009E29E8"/>
    <w:rsid w:val="009E2E44"/>
    <w:rsid w:val="009E5C06"/>
    <w:rsid w:val="009F2E96"/>
    <w:rsid w:val="00A10B44"/>
    <w:rsid w:val="00A134B1"/>
    <w:rsid w:val="00A15398"/>
    <w:rsid w:val="00A22BCE"/>
    <w:rsid w:val="00A24F60"/>
    <w:rsid w:val="00A27922"/>
    <w:rsid w:val="00A56693"/>
    <w:rsid w:val="00A56FEB"/>
    <w:rsid w:val="00A76521"/>
    <w:rsid w:val="00A907FE"/>
    <w:rsid w:val="00A94CA4"/>
    <w:rsid w:val="00AF62D4"/>
    <w:rsid w:val="00B01094"/>
    <w:rsid w:val="00B031A6"/>
    <w:rsid w:val="00B20E79"/>
    <w:rsid w:val="00B222E9"/>
    <w:rsid w:val="00B27771"/>
    <w:rsid w:val="00B523A4"/>
    <w:rsid w:val="00B76850"/>
    <w:rsid w:val="00B83BDF"/>
    <w:rsid w:val="00B90688"/>
    <w:rsid w:val="00B96275"/>
    <w:rsid w:val="00B975CE"/>
    <w:rsid w:val="00BC54D1"/>
    <w:rsid w:val="00BE35CD"/>
    <w:rsid w:val="00BF02B2"/>
    <w:rsid w:val="00C132E8"/>
    <w:rsid w:val="00C26A84"/>
    <w:rsid w:val="00C4438B"/>
    <w:rsid w:val="00C63F44"/>
    <w:rsid w:val="00C64800"/>
    <w:rsid w:val="00C713D3"/>
    <w:rsid w:val="00C71582"/>
    <w:rsid w:val="00C85CF4"/>
    <w:rsid w:val="00C93B92"/>
    <w:rsid w:val="00CA41DC"/>
    <w:rsid w:val="00CC2053"/>
    <w:rsid w:val="00CE1963"/>
    <w:rsid w:val="00CE2E36"/>
    <w:rsid w:val="00CE4033"/>
    <w:rsid w:val="00CE442B"/>
    <w:rsid w:val="00CF2573"/>
    <w:rsid w:val="00D072E8"/>
    <w:rsid w:val="00D2668A"/>
    <w:rsid w:val="00D311CD"/>
    <w:rsid w:val="00D40AAB"/>
    <w:rsid w:val="00D44E23"/>
    <w:rsid w:val="00D520B9"/>
    <w:rsid w:val="00D539B8"/>
    <w:rsid w:val="00D62B86"/>
    <w:rsid w:val="00D638CB"/>
    <w:rsid w:val="00D9761B"/>
    <w:rsid w:val="00DB0BC3"/>
    <w:rsid w:val="00DB580F"/>
    <w:rsid w:val="00DB67DD"/>
    <w:rsid w:val="00DD5C8A"/>
    <w:rsid w:val="00DF29D3"/>
    <w:rsid w:val="00DF7535"/>
    <w:rsid w:val="00E00B92"/>
    <w:rsid w:val="00E15F1A"/>
    <w:rsid w:val="00E30C42"/>
    <w:rsid w:val="00E34841"/>
    <w:rsid w:val="00E373C6"/>
    <w:rsid w:val="00E5427E"/>
    <w:rsid w:val="00E5622A"/>
    <w:rsid w:val="00E60184"/>
    <w:rsid w:val="00E611D0"/>
    <w:rsid w:val="00E71073"/>
    <w:rsid w:val="00E84520"/>
    <w:rsid w:val="00E85DBB"/>
    <w:rsid w:val="00E976FE"/>
    <w:rsid w:val="00EA0955"/>
    <w:rsid w:val="00EB45B9"/>
    <w:rsid w:val="00EB5896"/>
    <w:rsid w:val="00EC18E8"/>
    <w:rsid w:val="00ED46AF"/>
    <w:rsid w:val="00ED5A19"/>
    <w:rsid w:val="00F06192"/>
    <w:rsid w:val="00F16B15"/>
    <w:rsid w:val="00F5678C"/>
    <w:rsid w:val="00F666DE"/>
    <w:rsid w:val="00F67744"/>
    <w:rsid w:val="00F70048"/>
    <w:rsid w:val="00F949C1"/>
    <w:rsid w:val="00F97C35"/>
    <w:rsid w:val="00FA02AE"/>
    <w:rsid w:val="00FA1F69"/>
    <w:rsid w:val="00FA7F50"/>
    <w:rsid w:val="00FB3C41"/>
    <w:rsid w:val="00FC5CB7"/>
    <w:rsid w:val="00FD10F3"/>
    <w:rsid w:val="00FF183B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5289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452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4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4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E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994660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F70048"/>
  </w:style>
  <w:style w:type="character" w:customStyle="1" w:styleId="10">
    <w:name w:val="Заголовок 1 Знак"/>
    <w:basedOn w:val="a0"/>
    <w:link w:val="1"/>
    <w:rsid w:val="008E741F"/>
    <w:rPr>
      <w:sz w:val="28"/>
    </w:rPr>
  </w:style>
  <w:style w:type="character" w:customStyle="1" w:styleId="30">
    <w:name w:val="Заголовок 3 Знак"/>
    <w:basedOn w:val="a0"/>
    <w:link w:val="3"/>
    <w:rsid w:val="008E741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5E64-C59E-4587-B0C4-53D48303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vt:lpstr>
    </vt:vector>
  </TitlesOfParts>
  <Company>Собрание депутатов город  Кимовск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dc:title>
  <dc:creator>Катенька</dc:creator>
  <cp:lastModifiedBy>Астахова</cp:lastModifiedBy>
  <cp:revision>2</cp:revision>
  <cp:lastPrinted>2013-07-03T07:10:00Z</cp:lastPrinted>
  <dcterms:created xsi:type="dcterms:W3CDTF">2023-05-19T12:36:00Z</dcterms:created>
  <dcterms:modified xsi:type="dcterms:W3CDTF">2023-05-19T12:36:00Z</dcterms:modified>
</cp:coreProperties>
</file>